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pPr>
      <w:r>
        <w:rPr>
          <w:rFonts w:ascii="Arial" w:cs="Arial" w:eastAsia="Arial" w:hAnsi="Arial"/>
          <w:b/>
          <w:bCs/>
          <w:color w:val="1B6B93"/>
          <w:spacing w:val="200"/>
          <w:sz w:val="20"/>
          <w:szCs w:val="20"/>
        </w:rPr>
        <w:t xml:space="preserve">NOVENDOR.AI</w:t>
      </w:r>
    </w:p>
    <w:p>
      <w:pPr>
        <w:spacing w:after="40"/>
      </w:pPr>
      <w:r>
        <w:rPr>
          <w:rFonts w:ascii="Arial" w:cs="Arial" w:eastAsia="Arial" w:hAnsi="Arial"/>
          <w:b/>
          <w:bCs/>
          <w:color w:val="0B1D3A"/>
          <w:sz w:val="44"/>
          <w:szCs w:val="44"/>
        </w:rPr>
        <w:t xml:space="preserve">The Underwriting Standard for AI</w:t>
      </w:r>
    </w:p>
    <w:p>
      <w:pPr>
        <w:spacing w:after="40"/>
      </w:pPr>
      <w:r>
        <w:rPr>
          <w:rFonts w:ascii="Georgia" w:cs="Georgia" w:eastAsia="Georgia" w:hAnsi="Georgia"/>
          <w:i/>
          <w:iCs/>
          <w:color w:val="555555"/>
          <w:sz w:val="26"/>
          <w:szCs w:val="26"/>
        </w:rPr>
        <w:t xml:space="preserve">How We Applied the Strict Logic of Credit Decisioning to Build an AI That Can Never Hallucinate Against Your Data</w:t>
      </w:r>
    </w:p>
    <w:p>
      <w:pPr>
        <w:pBdr>
          <w:bottom w:val="single" w:color="C0C0C0" w:sz="4" w:space="8"/>
        </w:pBdr>
        <w:spacing w:after="200" w:before="200"/>
      </w:pPr>
    </w:p>
    <w:p>
      <w:pPr>
        <w:tabs>
          <w:tab w:val="right" w:pos="9026"/>
        </w:tabs>
        <w:spacing w:after="80"/>
      </w:pPr>
      <w:r>
        <w:rPr>
          <w:rFonts w:ascii="Arial" w:cs="Arial" w:eastAsia="Arial" w:hAnsi="Arial"/>
          <w:color w:val="555555"/>
          <w:sz w:val="18"/>
          <w:szCs w:val="18"/>
        </w:rPr>
        <w:t xml:space="preserve">NoVendor.ai  |  Consumer Credit Intelligence Series</w:t>
      </w:r>
    </w:p>
    <w:p>
      <w:pPr>
        <w:spacing w:after="400"/>
      </w:pPr>
    </w:p>
    <w:p>
      <w:pPr>
        <w:spacing w:after="200" w:before="440"/>
      </w:pPr>
      <w:r>
        <w:rPr>
          <w:rFonts w:ascii="Arial" w:cs="Arial" w:eastAsia="Arial" w:hAnsi="Arial"/>
          <w:b/>
          <w:bCs/>
          <w:color w:val="0B1D3A"/>
          <w:sz w:val="26"/>
          <w:szCs w:val="26"/>
        </w:rPr>
        <w:t xml:space="preserve">THE LOAN OFFICER WHO NEVER SLEEPS</w:t>
      </w:r>
    </w:p>
    <w:p>
      <w:pPr>
        <w:spacing w:after="200" w:line="312"/>
        <w:jc w:val="both"/>
      </w:pPr>
      <w:r>
        <w:rPr>
          <w:rFonts w:ascii="Georgia" w:cs="Georgia" w:eastAsia="Georgia" w:hAnsi="Georgia"/>
          <w:color w:val="2C2C2C"/>
          <w:sz w:val="23"/>
          <w:szCs w:val="23"/>
        </w:rPr>
        <w:t xml:space="preserve">Every credit underwriter learns the same lesson in their first week on the desk: when in doubt, deny. Not because the borrower is necessarily a bad risk, but because you cannot approve what you cannot prove. The entire architecture of consumer lending is built on this principle. You start from a position of zero trust, and the applicant earns approval only by producing documentation that satisfies every single condition in the decisioning matrix. No exceptions. No gut feelings. No approximations.</w:t>
      </w:r>
    </w:p>
    <w:p>
      <w:pPr>
        <w:spacing w:after="200" w:line="312"/>
        <w:jc w:val="both"/>
      </w:pPr>
      <w:r>
        <w:rPr>
          <w:rFonts w:ascii="Georgia" w:cs="Georgia" w:eastAsia="Georgia" w:hAnsi="Georgia"/>
          <w:color w:val="2C2C2C"/>
          <w:sz w:val="23"/>
          <w:szCs w:val="23"/>
        </w:rPr>
        <w:t xml:space="preserve">Artificial intelligence, as most organizations deploy it today, operates on the opposite principle. The default setting is permissive. The model is trained to be helpful, to produce an answer even when the underlying data is ambiguous, incomplete, or entirely absent. When a large language model does not know the answer, it does not say so. It fabricates one. In the industry, this is called a hallucination. In credit, we have a simpler word for it: fraud.</w:t>
      </w:r>
    </w:p>
    <w:p>
      <w:pPr>
        <w:spacing w:after="200" w:line="312"/>
        <w:jc w:val="both"/>
      </w:pPr>
      <w:r>
        <w:rPr>
          <w:rFonts w:ascii="Georgia" w:cs="Georgia" w:eastAsia="Georgia" w:hAnsi="Georgia"/>
          <w:color w:val="2C2C2C"/>
          <w:sz w:val="23"/>
          <w:szCs w:val="23"/>
        </w:rPr>
        <w:t xml:space="preserve">This is the foundational problem that NoVendor was built to solve. Not by fine-tuning a model, not by adding a disclaimer to the output, but by restructuring the entire operating architecture so that an AI agent is held to the same evidentiary standard as a loan officer sitting in front of an examiner.</w:t>
      </w:r>
    </w:p>
    <w:p>
      <w:pPr>
        <w:pBdr>
          <w:left w:val="single" w:color="1B6B93" w:sz="12" w:space="12"/>
        </w:pBdr>
        <w:spacing w:after="280" w:before="280"/>
        <w:ind w:left="720" w:right="720"/>
      </w:pPr>
      <w:r>
        <w:rPr>
          <w:rFonts w:ascii="Georgia" w:cs="Georgia" w:eastAsia="Georgia" w:hAnsi="Georgia"/>
          <w:i/>
          <w:iCs/>
          <w:color w:val="1B6B93"/>
          <w:sz w:val="24"/>
          <w:szCs w:val="24"/>
        </w:rPr>
        <w:t xml:space="preserve">We did not ask the machine to be smarter. We told it to prove every word.</w:t>
      </w:r>
    </w:p>
    <w:p>
      <w:pPr>
        <w:spacing w:after="200" w:line="312"/>
        <w:jc w:val="both"/>
      </w:pPr>
      <w:r>
        <w:rPr>
          <w:rFonts w:ascii="Georgia" w:cs="Georgia" w:eastAsia="Georgia" w:hAnsi="Georgia"/>
          <w:color w:val="2C2C2C"/>
          <w:sz w:val="23"/>
          <w:szCs w:val="23"/>
        </w:rPr>
        <w:t xml:space="preserve">What follows is a detailed explanation of the three engineering decisions that make this possible. Each one maps directly to a discipline that already exists inside your credit operations. We did not invent new theory. We took the rules you already enforce on humans and made the machine obey them.</w:t>
      </w:r>
    </w:p>
    <w:p>
      <w:pPr>
        <w:pBdr>
          <w:bottom w:val="single" w:color="C0C0C0" w:sz="4" w:space="8"/>
        </w:pBdr>
        <w:spacing w:after="200" w:before="200"/>
      </w:pPr>
    </w:p>
    <w:p>
      <w:pPr>
        <w:spacing w:after="200" w:before="440"/>
      </w:pPr>
      <w:r>
        <w:rPr>
          <w:rFonts w:ascii="Arial" w:cs="Arial" w:eastAsia="Arial" w:hAnsi="Arial"/>
          <w:b/>
          <w:bCs/>
          <w:color w:val="0B1D3A"/>
          <w:sz w:val="26"/>
          <w:szCs w:val="26"/>
        </w:rPr>
        <w:t xml:space="preserve">PART ONE: THE DENY-BY-DEFAULT WALLED GARDEN</w:t>
      </w:r>
    </w:p>
    <w:p>
      <w:pPr>
        <w:spacing w:after="200" w:line="312"/>
        <w:jc w:val="both"/>
      </w:pPr>
      <w:r>
        <w:rPr>
          <w:rFonts w:ascii="Georgia" w:cs="Georgia" w:eastAsia="Georgia" w:hAnsi="Georgia"/>
          <w:color w:val="2C2C2C"/>
          <w:sz w:val="23"/>
          <w:szCs w:val="23"/>
        </w:rPr>
        <w:t xml:space="preserve">In a well-run lending operation, the credit policy manual is the single source of truth. An underwriter cannot deviate from it without triggering an exception workflow, a supervisory review, and a documented rationale. The manual does not cover every conceivable borrower scenario. It does not need to. If a scenario falls outside the manual, the answer is not approval. The answer is escalation.</w:t>
      </w:r>
    </w:p>
    <w:p>
      <w:pPr>
        <w:spacing w:after="200" w:line="312"/>
        <w:jc w:val="both"/>
      </w:pPr>
      <w:r>
        <w:rPr>
          <w:rFonts w:ascii="Georgia" w:cs="Georgia" w:eastAsia="Georgia" w:hAnsi="Georgia"/>
          <w:color w:val="2C2C2C"/>
          <w:sz w:val="23"/>
          <w:szCs w:val="23"/>
        </w:rPr>
        <w:t xml:space="preserve">The NoVendor knowledge architecture applies this same constraint to the AI. Every deployment begins with a bounded document corpus: your policies, your procedures, your rate sheets, your regulatory interpretations, your internal guidance memos. These documents are ingested, parsed, chunked, embedded, and indexed. They become the only universe of fact the AI is permitted to reference.</w:t>
      </w:r>
    </w:p>
    <w:p>
      <w:pPr>
        <w:spacing w:after="160" w:before="320"/>
      </w:pPr>
      <w:r>
        <w:rPr>
          <w:rFonts w:ascii="Arial" w:cs="Arial" w:eastAsia="Arial" w:hAnsi="Arial"/>
          <w:b/>
          <w:bCs/>
          <w:color w:val="1B6B93"/>
          <w:sz w:val="23"/>
          <w:szCs w:val="23"/>
        </w:rPr>
        <w:t xml:space="preserve">What the Machine Is Not Allowed to Do</w:t>
      </w:r>
    </w:p>
    <w:p>
      <w:pPr>
        <w:spacing w:after="200" w:line="312"/>
        <w:jc w:val="both"/>
      </w:pPr>
      <w:r>
        <w:rPr>
          <w:rFonts w:ascii="Georgia" w:cs="Georgia" w:eastAsia="Georgia" w:hAnsi="Georgia"/>
          <w:color w:val="2C2C2C"/>
          <w:sz w:val="23"/>
          <w:szCs w:val="23"/>
        </w:rPr>
        <w:t xml:space="preserve">The AI cannot reach the open internet. It cannot supplement your documents with Wikipedia entries, news articles, Reddit threads, or any other external source. It cannot interpolate between documents to synthesize an answer that no single source actually supports. If the question demands information that does not exist inside the walled garden, the system returns a structured refusal, not a guess.</w:t>
      </w:r>
    </w:p>
    <w:p>
      <w:pPr>
        <w:spacing w:after="200" w:line="312"/>
        <w:jc w:val="both"/>
      </w:pPr>
      <w:r>
        <w:rPr>
          <w:rFonts w:ascii="Georgia" w:cs="Georgia" w:eastAsia="Georgia" w:hAnsi="Georgia"/>
          <w:color w:val="2C2C2C"/>
          <w:sz w:val="23"/>
          <w:szCs w:val="23"/>
        </w:rPr>
        <w:t xml:space="preserve">This is not a limitation. It is a design requirement. In consumer credit, an answer sourced from outside your approved policy framework is not just unhelpful. It is a compliance violation. If an underwriter told an examiner that they approved a loan based on something they read online, they would be terminated before lunch. The AI is held to the same standard.</w:t>
      </w:r>
    </w:p>
    <w:p>
      <w:pPr>
        <w:spacing w:after="160" w:before="320"/>
      </w:pPr>
      <w:r>
        <w:rPr>
          <w:rFonts w:ascii="Arial" w:cs="Arial" w:eastAsia="Arial" w:hAnsi="Arial"/>
          <w:b/>
          <w:bCs/>
          <w:color w:val="1B6B93"/>
          <w:sz w:val="23"/>
          <w:szCs w:val="23"/>
        </w:rPr>
        <w:t xml:space="preserve">Mathematical Proof, Not Probabilistic Confidence</w:t>
      </w:r>
    </w:p>
    <w:p>
      <w:pPr>
        <w:spacing w:after="200" w:line="312"/>
        <w:jc w:val="both"/>
      </w:pPr>
      <w:r>
        <w:rPr>
          <w:rFonts w:ascii="Georgia" w:cs="Georgia" w:eastAsia="Georgia" w:hAnsi="Georgia"/>
          <w:color w:val="2C2C2C"/>
          <w:sz w:val="23"/>
          <w:szCs w:val="23"/>
        </w:rPr>
        <w:t xml:space="preserve">Most retrieval-augmented generation systems use a similarity score to decide which documents are relevant to a query. If the score crosses a threshold, the document is included in the context window, and the model uses it to formulate a response. The problem is that similarity is not proof. A document about auto loan delinquency curves might score highly against a question about personal loan charge-off rates. The vocabulary overlaps. The substance does not.</w:t>
      </w:r>
    </w:p>
    <w:p>
      <w:pPr>
        <w:spacing w:after="200" w:line="312"/>
        <w:jc w:val="both"/>
      </w:pPr>
      <w:r>
        <w:rPr>
          <w:rFonts w:ascii="Georgia" w:cs="Georgia" w:eastAsia="Georgia" w:hAnsi="Georgia"/>
          <w:b w:val="false"/>
          <w:bCs w:val="false"/>
          <w:i w:val="false"/>
          <w:iCs w:val="false"/>
          <w:color w:val="2C2C2C"/>
          <w:sz w:val="23"/>
          <w:szCs w:val="23"/>
        </w:rPr>
        <w:t xml:space="preserve">NoVendor replaces probabilistic retrieval with deterministic validation. Every claim the AI makes is traced back to a specific passage in a specific document. The system generates a </w:t>
      </w:r>
      <w:r>
        <w:rPr>
          <w:rFonts w:ascii="Georgia" w:cs="Georgia" w:eastAsia="Georgia" w:hAnsi="Georgia"/>
          <w:b/>
          <w:bCs/>
          <w:i w:val="false"/>
          <w:iCs w:val="false"/>
          <w:color w:val="2C2C2C"/>
          <w:sz w:val="23"/>
          <w:szCs w:val="23"/>
        </w:rPr>
        <w:t xml:space="preserve">citation chain</w:t>
      </w:r>
      <w:r>
        <w:rPr>
          <w:rFonts w:ascii="Georgia" w:cs="Georgia" w:eastAsia="Georgia" w:hAnsi="Georgia"/>
          <w:b w:val="false"/>
          <w:bCs w:val="false"/>
          <w:i w:val="false"/>
          <w:iCs w:val="false"/>
          <w:color w:val="2C2C2C"/>
          <w:sz w:val="23"/>
          <w:szCs w:val="23"/>
        </w:rPr>
        <w:t xml:space="preserve">: a linked sequence of source references that a human reviewer can follow from the AI’s output back to the original text. If the citation chain breaks—if even one link cannot be resolved to a concrete passage—the answer is suppressed.</w:t>
      </w:r>
    </w:p>
    <w:p>
      <w:pPr>
        <w:spacing w:after="200" w:line="312"/>
        <w:jc w:val="both"/>
      </w:pPr>
      <w:r>
        <w:rPr>
          <w:rFonts w:ascii="Georgia" w:cs="Georgia" w:eastAsia="Georgia" w:hAnsi="Georgia"/>
          <w:color w:val="2C2C2C"/>
          <w:sz w:val="23"/>
          <w:szCs w:val="23"/>
        </w:rPr>
        <w:t xml:space="preserve">Think of it as the difference between a credit score and a fully documented credit file. The score tells you a number. The file tells you why. Regulators do not accept scores without files. Auditors do not accept conclusions without evidence. Your AI should not either.</w:t>
      </w:r>
    </w:p>
    <w:p>
      <w:pPr>
        <w:spacing w:after="160" w:before="320"/>
      </w:pPr>
      <w:r>
        <w:rPr>
          <w:rFonts w:ascii="Arial" w:cs="Arial" w:eastAsia="Arial" w:hAnsi="Arial"/>
          <w:b/>
          <w:bCs/>
          <w:color w:val="1B6B93"/>
          <w:sz w:val="23"/>
          <w:szCs w:val="23"/>
        </w:rPr>
        <w:t xml:space="preserve">Fiduciary Duty in Algorithmic Form</w:t>
      </w:r>
    </w:p>
    <w:p>
      <w:pPr>
        <w:spacing w:after="200" w:line="312"/>
        <w:jc w:val="both"/>
      </w:pPr>
      <w:r>
        <w:rPr>
          <w:rFonts w:ascii="Georgia" w:cs="Georgia" w:eastAsia="Georgia" w:hAnsi="Georgia"/>
          <w:color w:val="2C2C2C"/>
          <w:sz w:val="23"/>
          <w:szCs w:val="23"/>
        </w:rPr>
        <w:t xml:space="preserve">When your organization deploys an AI system that touches loan origination, servicing, collections, or portfolio management, you are extending your fiduciary obligations to that system. If the AI provides inaccurate guidance that leads to a lending decision, the liability sits with you, not the model vendor. Every hallucination is a potential fair-lending violation, a potential UDAAP issue, a potential examiner finding.</w:t>
      </w:r>
    </w:p>
    <w:p>
      <w:pPr>
        <w:spacing w:after="200" w:line="312"/>
        <w:jc w:val="both"/>
      </w:pPr>
      <w:r>
        <w:rPr>
          <w:rFonts w:ascii="Georgia" w:cs="Georgia" w:eastAsia="Georgia" w:hAnsi="Georgia"/>
          <w:color w:val="2C2C2C"/>
          <w:sz w:val="23"/>
          <w:szCs w:val="23"/>
        </w:rPr>
        <w:t xml:space="preserve">The walled garden eliminates this vector. Not reduces it. Eliminates it. The machine cannot assert a fact that does not exist in your approved corpus, because the architecture physically prevents the assertion from being generated. This is not prompt engineering. This is not a system message that says “please do not hallucinate.” This is a structural constraint enforced at the retrieval layer, the generation layer, and the output validation layer simultaneously.</w:t>
      </w:r>
    </w:p>
    <w:p>
      <w:pPr>
        <w:pBdr>
          <w:left w:val="single" w:color="1B6B93" w:sz="12" w:space="12"/>
        </w:pBdr>
        <w:spacing w:after="280" w:before="280"/>
        <w:ind w:left="720" w:right="720"/>
      </w:pPr>
      <w:r>
        <w:rPr>
          <w:rFonts w:ascii="Georgia" w:cs="Georgia" w:eastAsia="Georgia" w:hAnsi="Georgia"/>
          <w:i/>
          <w:iCs/>
          <w:color w:val="1B6B93"/>
          <w:sz w:val="24"/>
          <w:szCs w:val="24"/>
        </w:rPr>
        <w:t xml:space="preserve">If the proof is not in the file, the answer does not leave the system. Full stop.</w:t>
      </w:r>
    </w:p>
    <w:p>
      <w:pPr>
        <w:pBdr>
          <w:bottom w:val="single" w:color="C0C0C0" w:sz="4" w:space="8"/>
        </w:pBdr>
        <w:spacing w:after="200" w:before="200"/>
      </w:pPr>
    </w:p>
    <w:p>
      <w:pPr>
        <w:spacing w:after="200" w:before="440"/>
      </w:pPr>
      <w:r>
        <w:rPr>
          <w:rFonts w:ascii="Arial" w:cs="Arial" w:eastAsia="Arial" w:hAnsi="Arial"/>
          <w:b/>
          <w:bCs/>
          <w:color w:val="0B1D3A"/>
          <w:sz w:val="26"/>
          <w:szCs w:val="26"/>
        </w:rPr>
        <w:t xml:space="preserve">PART TWO: CHAIN-OF-THOUGHT ORCHESTRATION</w:t>
      </w:r>
    </w:p>
    <w:p>
      <w:pPr>
        <w:spacing w:after="200" w:line="312"/>
        <w:jc w:val="both"/>
      </w:pPr>
      <w:r>
        <w:rPr>
          <w:rFonts w:ascii="Georgia" w:cs="Georgia" w:eastAsia="Georgia" w:hAnsi="Georgia"/>
          <w:color w:val="2C2C2C"/>
          <w:sz w:val="23"/>
          <w:szCs w:val="23"/>
        </w:rPr>
        <w:t xml:space="preserve">The walled garden controls what the AI knows. Chain-of-thought orchestration controls how the AI thinks. These are separate problems, and they require separate engineering.</w:t>
      </w:r>
    </w:p>
    <w:p>
      <w:pPr>
        <w:spacing w:after="200" w:line="312"/>
        <w:jc w:val="both"/>
      </w:pPr>
      <w:r>
        <w:rPr>
          <w:rFonts w:ascii="Georgia" w:cs="Georgia" w:eastAsia="Georgia" w:hAnsi="Georgia"/>
          <w:color w:val="2C2C2C"/>
          <w:sz w:val="23"/>
          <w:szCs w:val="23"/>
        </w:rPr>
        <w:t xml:space="preserve">In a standard deployment, a large language model receives a prompt, processes it through billions of parameters, and produces an output. The reasoning that connects input to output is invisible. The model does not show its work. For consumer-facing chatbots and content generation, this opacity is acceptable. For regulated financial operations, it is disqualifying.</w:t>
      </w:r>
    </w:p>
    <w:p>
      <w:pPr>
        <w:spacing w:after="160" w:before="320"/>
      </w:pPr>
      <w:r>
        <w:rPr>
          <w:rFonts w:ascii="Arial" w:cs="Arial" w:eastAsia="Arial" w:hAnsi="Arial"/>
          <w:b/>
          <w:bCs/>
          <w:color w:val="1B6B93"/>
          <w:sz w:val="23"/>
          <w:szCs w:val="23"/>
        </w:rPr>
        <w:t xml:space="preserve">Forcing the Machine to Show Its Work</w:t>
      </w:r>
    </w:p>
    <w:p>
      <w:pPr>
        <w:spacing w:after="200" w:line="312"/>
        <w:jc w:val="both"/>
      </w:pPr>
      <w:r>
        <w:rPr>
          <w:rFonts w:ascii="Georgia" w:cs="Georgia" w:eastAsia="Georgia" w:hAnsi="Georgia"/>
          <w:color w:val="2C2C2C"/>
          <w:sz w:val="23"/>
          <w:szCs w:val="23"/>
        </w:rPr>
        <w:t xml:space="preserve">NoVendor’s orchestration layer inserts mandatory reasoning steps between the user’s question and the system’s answer. The AI does not jump to a conclusion. It is required to decompose the question into sub-queries, retrieve relevant passages for each sub-query independently, evaluate whether the retrieved passages actually answer the sub-query or merely relate to it, and only then synthesize a response that accounts for all validated sub-answers.</w:t>
      </w:r>
    </w:p>
    <w:p>
      <w:pPr>
        <w:spacing w:after="200" w:line="312"/>
        <w:jc w:val="both"/>
      </w:pPr>
      <w:r>
        <w:rPr>
          <w:rFonts w:ascii="Georgia" w:cs="Georgia" w:eastAsia="Georgia" w:hAnsi="Georgia"/>
          <w:color w:val="2C2C2C"/>
          <w:sz w:val="23"/>
          <w:szCs w:val="23"/>
        </w:rPr>
        <w:t xml:space="preserve">Each step produces a written artifact. The decomposition is logged. The retrieval results are logged. The relevance evaluations are logged. The synthesis logic is logged. When the final answer is delivered to the user, the complete reasoning chain is stored alongside it in an immutable audit record.</w:t>
      </w:r>
    </w:p>
    <w:p>
      <w:pPr>
        <w:spacing w:after="160" w:before="320"/>
      </w:pPr>
      <w:r>
        <w:rPr>
          <w:rFonts w:ascii="Arial" w:cs="Arial" w:eastAsia="Arial" w:hAnsi="Arial"/>
          <w:b/>
          <w:bCs/>
          <w:color w:val="1B6B93"/>
          <w:sz w:val="23"/>
          <w:szCs w:val="23"/>
        </w:rPr>
        <w:t xml:space="preserve">Why This Matters for Examinations</w:t>
      </w:r>
    </w:p>
    <w:p>
      <w:pPr>
        <w:spacing w:after="200" w:line="312"/>
        <w:jc w:val="both"/>
      </w:pPr>
      <w:r>
        <w:rPr>
          <w:rFonts w:ascii="Georgia" w:cs="Georgia" w:eastAsia="Georgia" w:hAnsi="Georgia"/>
          <w:color w:val="2C2C2C"/>
          <w:sz w:val="23"/>
          <w:szCs w:val="23"/>
        </w:rPr>
        <w:t xml:space="preserve">When a regulator examines your lending decisions, they do not ask what you decided. They ask why you decided it. They want to see the credit memo. They want to see the exception justification. They want to see the supervisory sign-off. The chain-of-thought audit trail provides the same evidentiary package for every AI-assisted decision.</w:t>
      </w:r>
    </w:p>
    <w:p>
      <w:pPr>
        <w:spacing w:after="200" w:line="312"/>
        <w:jc w:val="both"/>
      </w:pPr>
      <w:r>
        <w:rPr>
          <w:rFonts w:ascii="Georgia" w:cs="Georgia" w:eastAsia="Georgia" w:hAnsi="Georgia"/>
          <w:b w:val="false"/>
          <w:bCs w:val="false"/>
          <w:i w:val="false"/>
          <w:iCs w:val="false"/>
          <w:color w:val="2C2C2C"/>
          <w:sz w:val="23"/>
          <w:szCs w:val="23"/>
        </w:rPr>
        <w:t xml:space="preserve">Consider a scenario where the AI assists a portfolio analyst in determining whether a delinquent borrower qualifies for a modification. Without chain-of-thought orchestration, the model returns a recommendation: </w:t>
      </w:r>
      <w:r>
        <w:rPr>
          <w:rFonts w:ascii="Georgia" w:cs="Georgia" w:eastAsia="Georgia" w:hAnsi="Georgia"/>
          <w:b w:val="false"/>
          <w:bCs w:val="false"/>
          <w:i/>
          <w:iCs/>
          <w:color w:val="2C2C2C"/>
          <w:sz w:val="23"/>
          <w:szCs w:val="23"/>
        </w:rPr>
        <w:t xml:space="preserve">“The borrower qualifies for a rate reduction under Policy 4.2.1.”</w:t>
      </w:r>
      <w:r>
        <w:rPr>
          <w:rFonts w:ascii="Georgia" w:cs="Georgia" w:eastAsia="Georgia" w:hAnsi="Georgia"/>
          <w:b w:val="false"/>
          <w:bCs w:val="false"/>
          <w:i w:val="false"/>
          <w:iCs w:val="false"/>
          <w:color w:val="2C2C2C"/>
          <w:sz w:val="23"/>
          <w:szCs w:val="23"/>
        </w:rPr>
        <w:t xml:space="preserve"> That recommendation might be correct. But if an examiner asks how the AI arrived at that conclusion, you have nothing to show them except the output.</w:t>
      </w:r>
    </w:p>
    <w:p>
      <w:pPr>
        <w:spacing w:after="200" w:line="312"/>
        <w:jc w:val="both"/>
      </w:pPr>
      <w:r>
        <w:rPr>
          <w:rFonts w:ascii="Georgia" w:cs="Georgia" w:eastAsia="Georgia" w:hAnsi="Georgia"/>
          <w:color w:val="2C2C2C"/>
          <w:sz w:val="23"/>
          <w:szCs w:val="23"/>
        </w:rPr>
        <w:t xml:space="preserve">With chain-of-thought orchestration, the audit trail shows the complete path: the AI identified the borrower’s delinquency status, retrieved Policy 4.2.1, confirmed the borrower’s DTI ratio fell within the policy’s modification threshold, verified that no exclusionary conditions applied, and generated the recommendation with each condition linked to its evidentiary source. The examiner does not need to trust the AI. They can read the AI’s reasoning the same way they read a human underwriter’s credit memo.</w:t>
      </w:r>
    </w:p>
    <w:p>
      <w:pPr>
        <w:spacing w:after="160" w:before="320"/>
      </w:pPr>
      <w:r>
        <w:rPr>
          <w:rFonts w:ascii="Arial" w:cs="Arial" w:eastAsia="Arial" w:hAnsi="Arial"/>
          <w:b/>
          <w:bCs/>
          <w:color w:val="1B6B93"/>
          <w:sz w:val="23"/>
          <w:szCs w:val="23"/>
        </w:rPr>
        <w:t xml:space="preserve">Slowing Down on Purpose</w:t>
      </w:r>
    </w:p>
    <w:p>
      <w:pPr>
        <w:spacing w:after="200" w:line="312"/>
        <w:jc w:val="both"/>
      </w:pPr>
      <w:r>
        <w:rPr>
          <w:rFonts w:ascii="Georgia" w:cs="Georgia" w:eastAsia="Georgia" w:hAnsi="Georgia"/>
          <w:color w:val="2C2C2C"/>
          <w:sz w:val="23"/>
          <w:szCs w:val="23"/>
        </w:rPr>
        <w:t xml:space="preserve">Speed is the default optimization target for most AI deployments. NoVendor deliberately introduces controlled latency. The chain-of-thought steps add processing time, typically between 800 milliseconds and two seconds depending on query complexity. This is intentional.</w:t>
      </w:r>
    </w:p>
    <w:p>
      <w:pPr>
        <w:spacing w:after="200" w:line="312"/>
        <w:jc w:val="both"/>
      </w:pPr>
      <w:r>
        <w:rPr>
          <w:rFonts w:ascii="Georgia" w:cs="Georgia" w:eastAsia="Georgia" w:hAnsi="Georgia"/>
          <w:color w:val="2C2C2C"/>
          <w:sz w:val="23"/>
          <w:szCs w:val="23"/>
        </w:rPr>
        <w:t xml:space="preserve">In credit, speed kills accuracy. A fast, wrong answer is worse than a slow, right one. The controlled latency is not a performance penalty. It is the time the system spends building the audit trail that protects your institution. Every millisecond of that latency is doing compliance work that would otherwise fall on a human analyst after the fact.</w:t>
      </w:r>
    </w:p>
    <w:p>
      <w:pPr>
        <w:pBdr>
          <w:left w:val="single" w:color="1B6B93" w:sz="12" w:space="12"/>
        </w:pBdr>
        <w:spacing w:after="280" w:before="280"/>
        <w:ind w:left="720" w:right="720"/>
      </w:pPr>
      <w:r>
        <w:rPr>
          <w:rFonts w:ascii="Georgia" w:cs="Georgia" w:eastAsia="Georgia" w:hAnsi="Georgia"/>
          <w:i/>
          <w:iCs/>
          <w:color w:val="1B6B93"/>
          <w:sz w:val="24"/>
          <w:szCs w:val="24"/>
        </w:rPr>
        <w:t xml:space="preserve">The machine does not rush to answer. It takes exactly as long as the proof requires.</w:t>
      </w:r>
    </w:p>
    <w:p>
      <w:pPr>
        <w:pBdr>
          <w:bottom w:val="single" w:color="C0C0C0" w:sz="4" w:space="8"/>
        </w:pBdr>
        <w:spacing w:after="200" w:before="200"/>
      </w:pPr>
    </w:p>
    <w:p>
      <w:pPr>
        <w:spacing w:after="200" w:before="440"/>
      </w:pPr>
      <w:r>
        <w:rPr>
          <w:rFonts w:ascii="Arial" w:cs="Arial" w:eastAsia="Arial" w:hAnsi="Arial"/>
          <w:b/>
          <w:bCs/>
          <w:color w:val="0B1D3A"/>
          <w:sz w:val="26"/>
          <w:szCs w:val="26"/>
        </w:rPr>
        <w:t xml:space="preserve">PART THREE: FORMAT LOCKS</w:t>
      </w:r>
    </w:p>
    <w:p>
      <w:pPr>
        <w:spacing w:after="200" w:line="312"/>
        <w:jc w:val="both"/>
      </w:pPr>
      <w:r>
        <w:rPr>
          <w:rFonts w:ascii="Georgia" w:cs="Georgia" w:eastAsia="Georgia" w:hAnsi="Georgia"/>
          <w:color w:val="2C2C2C"/>
          <w:sz w:val="23"/>
          <w:szCs w:val="23"/>
        </w:rPr>
        <w:t xml:space="preserve">The first two layers solve the knowledge problem and the reasoning problem. The third layer solves the integration problem: how do you safely connect a conversational AI to the rigid, structured, often decades-old systems that actually run your credit operations?</w:t>
      </w:r>
    </w:p>
    <w:p>
      <w:pPr>
        <w:spacing w:after="200" w:line="312"/>
        <w:jc w:val="both"/>
      </w:pPr>
      <w:r>
        <w:rPr>
          <w:rFonts w:ascii="Georgia" w:cs="Georgia" w:eastAsia="Georgia" w:hAnsi="Georgia"/>
          <w:color w:val="2C2C2C"/>
          <w:sz w:val="23"/>
          <w:szCs w:val="23"/>
        </w:rPr>
        <w:t xml:space="preserve">Consumer lenders operate on a technology stack that was not designed for natural language. Your loan origination system expects data in fixed fields with precise validation rules. Your servicing platform accepts modification requests in specific XML or batch formats. Your general ledger requires journal entries with exact account codes, amounts, and effective dates. A conversational AI, by default, produces unstructured text. Unstructured text cannot be trusted to populate a field that triggers a wire transfer.</w:t>
      </w:r>
    </w:p>
    <w:p>
      <w:pPr>
        <w:spacing w:after="160" w:before="320"/>
      </w:pPr>
      <w:r>
        <w:rPr>
          <w:rFonts w:ascii="Arial" w:cs="Arial" w:eastAsia="Arial" w:hAnsi="Arial"/>
          <w:b/>
          <w:bCs/>
          <w:color w:val="1B6B93"/>
          <w:sz w:val="23"/>
          <w:szCs w:val="23"/>
        </w:rPr>
        <w:t xml:space="preserve">The Bridge Between Conversation and Execution</w:t>
      </w:r>
    </w:p>
    <w:p>
      <w:pPr>
        <w:spacing w:after="200" w:line="312"/>
        <w:jc w:val="both"/>
      </w:pPr>
      <w:r>
        <w:rPr>
          <w:rFonts w:ascii="Georgia" w:cs="Georgia" w:eastAsia="Georgia" w:hAnsi="Georgia"/>
          <w:color w:val="2C2C2C"/>
          <w:sz w:val="23"/>
          <w:szCs w:val="23"/>
        </w:rPr>
        <w:t xml:space="preserve">Format Locks are output constraints that force the AI’s responses into deterministic, system-compatible structures before they are delivered. When the AI’s output will be consumed by a downstream system rather than a human reader, the orchestration layer activates a format lock that defines the exact schema the output must conform to.</w:t>
      </w:r>
    </w:p>
    <w:p>
      <w:pPr>
        <w:spacing w:after="200" w:line="312"/>
        <w:jc w:val="both"/>
      </w:pPr>
      <w:r>
        <w:rPr>
          <w:rFonts w:ascii="Georgia" w:cs="Georgia" w:eastAsia="Georgia" w:hAnsi="Georgia"/>
          <w:color w:val="2C2C2C"/>
          <w:sz w:val="23"/>
          <w:szCs w:val="23"/>
        </w:rPr>
        <w:t xml:space="preserve">The format lock is not a suggestion. It is a hard constraint enforced at the generation layer. If the AI’s reasoning produces a result that cannot be validly serialized into the required format, the output is rejected, and the system either retries with additional constraints or escalates to a human operator. The AI never emits a malformed payload.</w:t>
      </w:r>
    </w:p>
    <w:p>
      <w:pPr>
        <w:spacing w:after="160" w:before="320"/>
      </w:pPr>
      <w:r>
        <w:rPr>
          <w:rFonts w:ascii="Arial" w:cs="Arial" w:eastAsia="Arial" w:hAnsi="Arial"/>
          <w:b/>
          <w:bCs/>
          <w:color w:val="1B6B93"/>
          <w:sz w:val="23"/>
          <w:szCs w:val="23"/>
        </w:rPr>
        <w:t xml:space="preserve">Practical Application: Decisioning Integration</w:t>
      </w:r>
    </w:p>
    <w:p>
      <w:pPr>
        <w:spacing w:after="200" w:line="312"/>
        <w:jc w:val="both"/>
      </w:pPr>
      <w:r>
        <w:rPr>
          <w:rFonts w:ascii="Georgia" w:cs="Georgia" w:eastAsia="Georgia" w:hAnsi="Georgia"/>
          <w:color w:val="2C2C2C"/>
          <w:sz w:val="23"/>
          <w:szCs w:val="23"/>
        </w:rPr>
        <w:t xml:space="preserve">Consider the automated decisioning workflow. A borrower’s application data enters the system. The AI evaluates the application against your credit policy using the walled-garden knowledge base and chain-of-thought orchestration. The result must be emitted as a structured decisioning record: the decision itself, the policy rules that were evaluated, the attribute values that drove the outcome, and the explanation string that will appear in the adverse action notice if the application is declined.</w:t>
      </w:r>
    </w:p>
    <w:p>
      <w:pPr>
        <w:spacing w:after="200" w:line="312"/>
        <w:jc w:val="both"/>
      </w:pPr>
      <w:r>
        <w:rPr>
          <w:rFonts w:ascii="Georgia" w:cs="Georgia" w:eastAsia="Georgia" w:hAnsi="Georgia"/>
          <w:b w:val="false"/>
          <w:bCs w:val="false"/>
          <w:i w:val="false"/>
          <w:iCs w:val="false"/>
          <w:color w:val="2C2C2C"/>
          <w:sz w:val="23"/>
          <w:szCs w:val="23"/>
        </w:rPr>
        <w:t xml:space="preserve">Without a format lock, the AI might return something like: </w:t>
      </w:r>
      <w:r>
        <w:rPr>
          <w:rFonts w:ascii="Georgia" w:cs="Georgia" w:eastAsia="Georgia" w:hAnsi="Georgia"/>
          <w:b w:val="false"/>
          <w:bCs w:val="false"/>
          <w:i/>
          <w:iCs/>
          <w:color w:val="2C2C2C"/>
          <w:sz w:val="23"/>
          <w:szCs w:val="23"/>
        </w:rPr>
        <w:t xml:space="preserve">“This borrower’s DTI is a bit high, so I’d lean toward declining, but their FICO is decent.”</w:t>
      </w:r>
      <w:r>
        <w:rPr>
          <w:rFonts w:ascii="Georgia" w:cs="Georgia" w:eastAsia="Georgia" w:hAnsi="Georgia"/>
          <w:b w:val="false"/>
          <w:bCs w:val="false"/>
          <w:i w:val="false"/>
          <w:iCs w:val="false"/>
          <w:color w:val="2C2C2C"/>
          <w:sz w:val="23"/>
          <w:szCs w:val="23"/>
        </w:rPr>
        <w:t xml:space="preserve"> That is a perfectly natural conversational response. It is also completely unusable. Your decisioning engine cannot parse “a bit high.” Your adverse action notice cannot cite “I’d lean toward.”</w:t>
      </w:r>
    </w:p>
    <w:p>
      <w:pPr>
        <w:spacing w:after="200" w:line="312"/>
        <w:jc w:val="both"/>
      </w:pPr>
      <w:r>
        <w:rPr>
          <w:rFonts w:ascii="Georgia" w:cs="Georgia" w:eastAsia="Georgia" w:hAnsi="Georgia"/>
          <w:color w:val="2C2C2C"/>
          <w:sz w:val="23"/>
          <w:szCs w:val="23"/>
        </w:rPr>
        <w:t xml:space="preserve">With a format lock, the same reasoning is constrained into a structured output: decision status, each evaluated rule with its threshold and observed value, a pass or fail indicator for each condition, and an explanation rendered from the policy’s own language. The output is machine-readable, audit-ready, and directly injectable into your servicing platform without human reformatting.</w:t>
      </w:r>
    </w:p>
    <w:p>
      <w:pPr>
        <w:spacing w:after="160" w:before="320"/>
      </w:pPr>
      <w:r>
        <w:rPr>
          <w:rFonts w:ascii="Arial" w:cs="Arial" w:eastAsia="Arial" w:hAnsi="Arial"/>
          <w:b/>
          <w:bCs/>
          <w:color w:val="1B6B93"/>
          <w:sz w:val="23"/>
          <w:szCs w:val="23"/>
        </w:rPr>
        <w:t xml:space="preserve">Legacy System Compatibility</w:t>
      </w:r>
    </w:p>
    <w:p>
      <w:pPr>
        <w:spacing w:after="200" w:line="312"/>
        <w:jc w:val="both"/>
      </w:pPr>
      <w:r>
        <w:rPr>
          <w:rFonts w:ascii="Georgia" w:cs="Georgia" w:eastAsia="Georgia" w:hAnsi="Georgia"/>
          <w:color w:val="2C2C2C"/>
          <w:sz w:val="23"/>
          <w:szCs w:val="23"/>
        </w:rPr>
        <w:t xml:space="preserve">The format lock architecture is particularly critical for organizations running legacy servicing platforms. Many mid-tier lenders still operate on systems built in the 1990s or early 2000s, systems that accept flat files, fixed-width records, or proprietary batch formats. These systems are fragile. A single misplaced character in a batch file can corrupt an entire processing run.</w:t>
      </w:r>
    </w:p>
    <w:p>
      <w:pPr>
        <w:spacing w:after="200" w:line="312"/>
        <w:jc w:val="both"/>
      </w:pPr>
      <w:r>
        <w:rPr>
          <w:rFonts w:ascii="Georgia" w:cs="Georgia" w:eastAsia="Georgia" w:hAnsi="Georgia"/>
          <w:color w:val="2C2C2C"/>
          <w:sz w:val="23"/>
          <w:szCs w:val="23"/>
        </w:rPr>
        <w:t xml:space="preserve">NoVendor’s format locks are configurable per integration target. The same AI reasoning can be emitted as a JSON object for a modern API, a fixed-width record for a legacy batch process, or a structured XML payload for a MISMO-compliant system. The AI’s reasoning does not change. Only the output serialization changes, and that serialization is validated against the target schema before delivery.</w:t>
      </w:r>
    </w:p>
    <w:p>
      <w:pPr>
        <w:pBdr>
          <w:left w:val="single" w:color="1B6B93" w:sz="12" w:space="12"/>
        </w:pBdr>
        <w:spacing w:after="280" w:before="280"/>
        <w:ind w:left="720" w:right="720"/>
      </w:pPr>
      <w:r>
        <w:rPr>
          <w:rFonts w:ascii="Georgia" w:cs="Georgia" w:eastAsia="Georgia" w:hAnsi="Georgia"/>
          <w:i/>
          <w:iCs/>
          <w:color w:val="1B6B93"/>
          <w:sz w:val="24"/>
          <w:szCs w:val="24"/>
        </w:rPr>
        <w:t xml:space="preserve">The AI speaks human. The format lock translates to machine. Neither side compromises.</w:t>
      </w:r>
    </w:p>
    <w:p>
      <w:pPr>
        <w:pBdr>
          <w:bottom w:val="single" w:color="C0C0C0" w:sz="4" w:space="8"/>
        </w:pBdr>
        <w:spacing w:after="200" w:before="200"/>
      </w:pPr>
    </w:p>
    <w:p>
      <w:pPr>
        <w:spacing w:after="200" w:before="440"/>
      </w:pPr>
      <w:r>
        <w:rPr>
          <w:rFonts w:ascii="Arial" w:cs="Arial" w:eastAsia="Arial" w:hAnsi="Arial"/>
          <w:b/>
          <w:bCs/>
          <w:color w:val="0B1D3A"/>
          <w:sz w:val="26"/>
          <w:szCs w:val="26"/>
        </w:rPr>
        <w:t xml:space="preserve">THE THREE LAYERS WORKING TOGETHER</w:t>
      </w:r>
    </w:p>
    <w:p>
      <w:pPr>
        <w:spacing w:after="200" w:line="312"/>
        <w:jc w:val="both"/>
      </w:pPr>
      <w:r>
        <w:rPr>
          <w:rFonts w:ascii="Georgia" w:cs="Georgia" w:eastAsia="Georgia" w:hAnsi="Georgia"/>
          <w:color w:val="2C2C2C"/>
          <w:sz w:val="23"/>
          <w:szCs w:val="23"/>
        </w:rPr>
        <w:t xml:space="preserve">These three engineering decisions are not independent features. They are a single integrated architecture, and the value of each one depends on the other two.</w:t>
      </w:r>
    </w:p>
    <w:p>
      <w:pPr>
        <w:spacing w:after="200" w:line="312"/>
        <w:jc w:val="both"/>
      </w:pPr>
      <w:r>
        <w:rPr>
          <w:rFonts w:ascii="Georgia" w:cs="Georgia" w:eastAsia="Georgia" w:hAnsi="Georgia"/>
          <w:color w:val="2C2C2C"/>
          <w:sz w:val="23"/>
          <w:szCs w:val="23"/>
        </w:rPr>
        <w:t xml:space="preserve">The walled garden without chain-of-thought would give you an AI that only uses approved data but cannot explain why it reached its conclusion. The audit trail would be incomplete. The chain-of-thought without the walled garden would give you an AI that reasons transparently but might reason from fabricated premises. The reasoning would be rigorous, but the inputs would be untrustworthy. Format locks without the other two would give you perfectly structured outputs that contain hallucinated content—the most dangerous outcome of all, because the structured format creates a false sense of reliability.</w:t>
      </w:r>
    </w:p>
    <w:p>
      <w:pPr>
        <w:spacing w:after="200" w:line="312"/>
        <w:jc w:val="both"/>
      </w:pPr>
      <w:r>
        <w:rPr>
          <w:rFonts w:ascii="Georgia" w:cs="Georgia" w:eastAsia="Georgia" w:hAnsi="Georgia"/>
          <w:color w:val="2C2C2C"/>
          <w:sz w:val="23"/>
          <w:szCs w:val="23"/>
        </w:rPr>
        <w:t xml:space="preserve">Together, they produce a system where every output is sourced from your approved data, every reasoning step is documented, and every deliverable is formatted for direct integration into your operational systems. This is not an AI assistant. This is an AI underwriter: one that operates within your policy framework, documents its logic for examination, and delivers results in the exact format your systems require.</w:t>
      </w:r>
    </w:p>
    <w:p>
      <w:pPr>
        <w:spacing w:after="160" w:before="320"/>
      </w:pPr>
      <w:r>
        <w:rPr>
          <w:rFonts w:ascii="Arial" w:cs="Arial" w:eastAsia="Arial" w:hAnsi="Arial"/>
          <w:b/>
          <w:bCs/>
          <w:color w:val="1B6B93"/>
          <w:sz w:val="23"/>
          <w:szCs w:val="23"/>
        </w:rPr>
        <w:t xml:space="preserve">What Comes Next</w:t>
      </w:r>
    </w:p>
    <w:p>
      <w:pPr>
        <w:spacing w:after="200" w:line="312"/>
        <w:jc w:val="both"/>
      </w:pPr>
      <w:r>
        <w:rPr>
          <w:rFonts w:ascii="Georgia" w:cs="Georgia" w:eastAsia="Georgia" w:hAnsi="Georgia"/>
          <w:color w:val="2C2C2C"/>
          <w:sz w:val="23"/>
          <w:szCs w:val="23"/>
        </w:rPr>
        <w:t xml:space="preserve">Once the knowledge base is locked and the reasoning architecture is in place, the next question is process selection. Not every workflow in your credit operation is a good candidate for AI orchestration. The ones that are share specific characteristics: they are high-volume, they are rule-driven, they produce documentation as a primary output, and they currently consume disproportionate analyst time relative to their decision complexity.</w:t>
      </w:r>
    </w:p>
    <w:p>
      <w:pPr>
        <w:spacing w:after="200" w:line="312"/>
        <w:jc w:val="both"/>
      </w:pPr>
      <w:r>
        <w:rPr>
          <w:rFonts w:ascii="Georgia" w:cs="Georgia" w:eastAsia="Georgia" w:hAnsi="Georgia"/>
          <w:color w:val="2C2C2C"/>
          <w:sz w:val="23"/>
          <w:szCs w:val="23"/>
        </w:rPr>
        <w:t xml:space="preserve">Underwriting exception queues. Covenant monitoring. Loss forecasting. Portfolio attribute analysis. These are the processes where a deterministic AI architecture delivers the highest return per unit of analyst time recaptured. The walled garden ensures the AI uses your data. The chain-of-thought ensures it reasons like your best analyst. The format locks ensure its output plugs directly into your operational stack.</w:t>
      </w:r>
    </w:p>
    <w:p>
      <w:pPr>
        <w:spacing w:after="200" w:line="312"/>
        <w:jc w:val="both"/>
      </w:pPr>
      <w:r>
        <w:rPr>
          <w:rFonts w:ascii="Georgia" w:cs="Georgia" w:eastAsia="Georgia" w:hAnsi="Georgia"/>
          <w:color w:val="2C2C2C"/>
          <w:sz w:val="23"/>
          <w:szCs w:val="23"/>
        </w:rPr>
        <w:t xml:space="preserve">The machine does not replace your people. It gives them back the hours they currently spend on work that should have been automated the moment it became rules-based. And every hour it works, it documents itself to the standard your examiners expect.</w:t>
      </w:r>
    </w:p>
    <w:p>
      <w:pPr>
        <w:spacing w:after="200" w:before="400"/>
      </w:pPr>
    </w:p>
    <w:p>
      <w:pPr>
        <w:pBdr>
          <w:bottom w:val="single" w:color="C0C0C0" w:sz="4" w:space="8"/>
        </w:pBdr>
        <w:spacing w:after="200" w:before="200"/>
      </w:pPr>
    </w:p>
    <w:p>
      <w:pPr>
        <w:spacing w:before="200"/>
        <w:jc w:val="center"/>
      </w:pPr>
      <w:r>
        <w:rPr>
          <w:rFonts w:ascii="Arial" w:cs="Arial" w:eastAsia="Arial" w:hAnsi="Arial"/>
          <w:b/>
          <w:bCs/>
          <w:color w:val="1B6B93"/>
          <w:sz w:val="20"/>
          <w:szCs w:val="20"/>
        </w:rPr>
        <w:t xml:space="preserve">NoVendor.ai — Decision Logic You Can Defend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6"/>
      </w:pBdr>
      <w:tabs>
        <w:tab w:val="right" w:pos="9026"/>
      </w:tabs>
      <w:spacing w:before="0"/>
    </w:pPr>
    <w:r>
      <w:rPr>
        <w:rFonts w:ascii="Arial" w:cs="Arial" w:eastAsia="Arial" w:hAnsi="Arial"/>
        <w:color w:val="555555"/>
        <w:sz w:val="16"/>
        <w:szCs w:val="16"/>
      </w:rPr>
      <w:t xml:space="preserve">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6"/>
      </w:pBdr>
      <w:tabs>
        <w:tab w:val="right" w:pos="9026"/>
      </w:tabs>
      <w:spacing w:after="0"/>
    </w:pPr>
    <w:r>
      <w:rPr>
        <w:rFonts w:ascii="Arial" w:cs="Arial" w:eastAsia="Arial" w:hAnsi="Arial"/>
        <w:b/>
        <w:bCs/>
        <w:color w:val="1B6B93"/>
        <w:sz w:val="16"/>
        <w:szCs w:val="16"/>
      </w:rPr>
      <w:t xml:space="preserve">NoVendor.ai</w:t>
    </w:r>
    <w:r>
      <w:rPr>
        <w:rFonts w:ascii="Arial" w:cs="Arial" w:eastAsia="Arial" w:hAnsi="Arial"/>
        <w:color w:val="555555"/>
        <w:sz w:val="16"/>
        <w:szCs w:val="16"/>
      </w:rPr>
      <w:t xml:space="preserve">	The Underwriting Standard for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1D3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6B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2026-03-16T20:33:32.146Z</dcterms:created>
  <dcterms:modified xsi:type="dcterms:W3CDTF">2026-03-16T20:33:32.152Z</dcterms:modified>
</cp:coreProperties>
</file>

<file path=docProps/custom.xml><?xml version="1.0" encoding="utf-8"?>
<Properties xmlns="http://schemas.openxmlformats.org/officeDocument/2006/custom-properties" xmlns:vt="http://schemas.openxmlformats.org/officeDocument/2006/docPropsVTypes"/>
</file>