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PROMISSORY NOTE</w:t>
      </w:r>
    </w:p>
    <w:p>
      <w:pPr>
        <w:spacing w:after="480" w:before="0"/>
        <w:jc w:val="center"/>
      </w:pPr>
      <w:r>
        <w:rPr>
          <w:rFonts w:ascii="Arial" w:cs="Arial" w:eastAsia="Arial" w:hAnsi="Arial"/>
          <w:color w:val="555555"/>
          <w:sz w:val="26"/>
          <w:szCs w:val="26"/>
        </w:rPr>
        <w:t xml:space="preserve">INTEREST ONLY — BRIDGE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Principal Amount: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$28,350,000.00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Maturity 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 2027 (as extended per terms hereof)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Maker: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Payee: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Interest 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SOFR + 285 basis points (floor: 0.50%)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Payment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 Only; principal due at maturity</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PROMISSORY NOTE</w:t>
      </w:r>
    </w:p>
    <w:p>
      <w:pPr>
        <w:spacing w:after="80" w:before="80"/>
        <w:ind/>
      </w:pPr>
      <w:r>
        <w:rPr>
          <w:rFonts w:ascii="Arial" w:cs="Arial" w:eastAsia="Arial" w:hAnsi="Arial"/>
          <w:b/>
          <w:bCs/>
          <w:sz w:val="20"/>
          <w:szCs w:val="20"/>
        </w:rPr>
        <w:t xml:space="preserve">$28,350,000.00</w:t>
      </w:r>
    </w:p>
    <w:p>
      <w:pPr>
        <w:spacing w:after="80" w:before="80"/>
        <w:ind/>
      </w:pPr>
      <w:r>
        <w:rPr>
          <w:rFonts w:ascii="Arial" w:cs="Arial" w:eastAsia="Arial" w:hAnsi="Arial"/>
          <w:sz w:val="20"/>
          <w:szCs w:val="20"/>
        </w:rPr>
        <w:t xml:space="preserve">March 15, 2024</w:t>
      </w:r>
    </w:p>
    <w:p>
      <w:pPr>
        <w:spacing w:after="60" w:before="0"/>
      </w:pPr>
      <w:r>
        <w:t xml:space="preserve"/>
      </w:r>
    </w:p>
    <w:p>
      <w:pPr>
        <w:spacing w:after="80" w:before="80"/>
        <w:ind/>
      </w:pPr>
      <w:r>
        <w:rPr>
          <w:rFonts w:ascii="Arial" w:cs="Arial" w:eastAsia="Arial" w:hAnsi="Arial"/>
          <w:sz w:val="20"/>
          <w:szCs w:val="20"/>
        </w:rPr>
        <w:t xml:space="preserve">FOR VALUE RECEIVED, MERIDIAN CAPITAL HOLDINGS IV LLC, a Delaware limited liability company (the "Maker"), promises to pay to the order of HARTWELL CAPITAL PARTNERS LLC, a Delaware limited liability company (the "Payee"), or its registered assigns (the "Holder"), the principal sum of TWENTY-EIGHT MILLION THREE HUNDRED FIFTY THOUSAND AND NO/100 DOLLARS ($28,350,000.00) (the "Principal Amount"), together with interest thereon from the date hereof until paid in full, all as more particularly set forth herein.</w:t>
      </w:r>
    </w:p>
    <w:p>
      <w:pPr>
        <w:pStyle w:val="Heading2"/>
        <w:spacing w:after="80" w:before="240"/>
      </w:pPr>
      <w:r>
        <w:rPr>
          <w:rFonts w:ascii="Arial" w:cs="Arial" w:eastAsia="Arial" w:hAnsi="Arial"/>
          <w:b/>
          <w:bCs/>
          <w:sz w:val="24"/>
          <w:szCs w:val="24"/>
        </w:rPr>
        <w:t xml:space="preserve">1. DEFINED TERMS</w:t>
      </w:r>
    </w:p>
    <w:p>
      <w:pPr>
        <w:spacing w:after="80" w:before="80"/>
        <w:ind/>
      </w:pPr>
      <w:r>
        <w:rPr>
          <w:rFonts w:ascii="Arial" w:cs="Arial" w:eastAsia="Arial" w:hAnsi="Arial"/>
          <w:sz w:val="20"/>
          <w:szCs w:val="20"/>
        </w:rPr>
        <w:t xml:space="preserve">Capitalized terms used but not defined herein shall have the meanings ascribed to them in that certain Loan Agreement dated as of March 15, 2024 (as amended, restated, or supplemented, the "Loan Agreement"), by and among Maker, Hartwell Capital Partners LLC, as lender, and James T. Harrington and Meridian Capital Group LLC, as guarantors. This Note is the "Note" referred to in the Loan Agreement and is subject to and entitled to the benefits of the Loan Agreement.</w:t>
      </w:r>
    </w:p>
    <w:p>
      <w:pPr>
        <w:pStyle w:val="Heading2"/>
        <w:spacing w:after="80" w:before="240"/>
      </w:pPr>
      <w:r>
        <w:rPr>
          <w:rFonts w:ascii="Arial" w:cs="Arial" w:eastAsia="Arial" w:hAnsi="Arial"/>
          <w:b/>
          <w:bCs/>
          <w:sz w:val="24"/>
          <w:szCs w:val="24"/>
        </w:rPr>
        <w:t xml:space="preserve">2. INTEREST RATE</w:t>
      </w:r>
    </w:p>
    <w:p>
      <w:pPr>
        <w:spacing w:after="80" w:before="80"/>
        <w:ind/>
      </w:pPr>
      <w:r>
        <w:rPr>
          <w:rFonts w:ascii="Arial" w:cs="Arial" w:eastAsia="Arial" w:hAnsi="Arial"/>
          <w:sz w:val="20"/>
          <w:szCs w:val="20"/>
        </w:rPr>
        <w:t xml:space="preserve">Interest shall accrue on the unpaid Principal Amount at a per annum rate equal to the sum of (i) the Secured Overnight Financing Rate ("SOFR"), as published by the Federal Reserve Bank of New York on the applicable Interest Determination Date, and (ii) 285 basis points (2.85%), subject to a floor rate of 0.50% per annum (the "Floor"). If SOFR on any Interest Determination Date would otherwise result in a rate less than the Floor, SOFR shall be deemed to be the Floor for such period. Interest shall be calculated on the basis of a 360-day year and actual days elapsed.</w:t>
      </w:r>
    </w:p>
    <w:p>
      <w:pPr>
        <w:spacing w:after="80" w:before="80"/>
        <w:ind/>
      </w:pPr>
      <w:r>
        <w:rPr>
          <w:rFonts w:ascii="Arial" w:cs="Arial" w:eastAsia="Arial" w:hAnsi="Arial"/>
          <w:sz w:val="20"/>
          <w:szCs w:val="20"/>
        </w:rPr>
        <w:t xml:space="preserve">For purposes hereof, "Interest Determination Date" means the date two (2) U.S. Government Securities Business Days preceding the first day of each Interest Period. The initial Interest Rate is 5.63% per annum (based on SOFR of 2.78% as of March 13, 2024, plus 285 basis points), subject to adjustment monthly in accordance with the foregoing.</w:t>
      </w:r>
    </w:p>
    <w:p>
      <w:pPr>
        <w:pStyle w:val="Heading2"/>
        <w:spacing w:after="80" w:before="240"/>
      </w:pPr>
      <w:r>
        <w:rPr>
          <w:rFonts w:ascii="Arial" w:cs="Arial" w:eastAsia="Arial" w:hAnsi="Arial"/>
          <w:b/>
          <w:bCs/>
          <w:sz w:val="24"/>
          <w:szCs w:val="24"/>
        </w:rPr>
        <w:t xml:space="preserve">3. PAYMENTS</w:t>
      </w:r>
    </w:p>
    <w:p>
      <w:pPr>
        <w:spacing w:after="80" w:before="80"/>
        <w:ind/>
      </w:pPr>
      <w:r>
        <w:rPr>
          <w:rFonts w:ascii="Arial" w:cs="Arial" w:eastAsia="Arial" w:hAnsi="Arial"/>
          <w:sz w:val="20"/>
          <w:szCs w:val="20"/>
        </w:rPr>
        <w:t xml:space="preserve">3.1  Monthly Interest Payments. Commencing on May 1, 2024, and on the first Business Day of each calendar month thereafter through and including the Maturity Date, Maker shall pay to Holder all accrued and unpaid interest on the outstanding Principal Amount through the last day of the immediately preceding calendar month.</w:t>
      </w:r>
    </w:p>
    <w:p>
      <w:pPr>
        <w:spacing w:after="80" w:before="80"/>
        <w:ind/>
      </w:pPr>
      <w:r>
        <w:rPr>
          <w:rFonts w:ascii="Arial" w:cs="Arial" w:eastAsia="Arial" w:hAnsi="Arial"/>
          <w:sz w:val="20"/>
          <w:szCs w:val="20"/>
        </w:rPr>
        <w:t xml:space="preserve">3.2  Principal Payment. The entire outstanding Principal Amount, together with all accrued and unpaid interest and all other amounts due hereunder, shall be due and payable in full on the Maturity Date.</w:t>
      </w:r>
    </w:p>
    <w:p>
      <w:pPr>
        <w:spacing w:after="80" w:before="80"/>
        <w:ind/>
      </w:pPr>
      <w:r>
        <w:rPr>
          <w:rFonts w:ascii="Arial" w:cs="Arial" w:eastAsia="Arial" w:hAnsi="Arial"/>
          <w:sz w:val="20"/>
          <w:szCs w:val="20"/>
        </w:rPr>
        <w:t xml:space="preserve">3.3  Cash Sweep. Notwithstanding the foregoing, during any Cash Sweep Period (as defined in the Loan Agreement), all amounts in excess of operating expenses, approved capital expenditures, and required reserves shall be swept to the Cash Sweep Account maintained by Holder, to be applied to reduce the Principal Amount or held as additional collateral, as determined by Holder in its sole discretion.</w:t>
      </w:r>
    </w:p>
    <w:p>
      <w:pPr>
        <w:spacing w:after="80" w:before="80"/>
        <w:ind/>
      </w:pPr>
      <w:r>
        <w:rPr>
          <w:rFonts w:ascii="Arial" w:cs="Arial" w:eastAsia="Arial" w:hAnsi="Arial"/>
          <w:sz w:val="20"/>
          <w:szCs w:val="20"/>
        </w:rPr>
        <w:t xml:space="preserve">3.4  Prepayment. Maker may prepay this Note in whole or in part at any time without premium or penalty, provided that (i) Maker delivers written notice to Holder not less than five (5) Business Days prior to such prepayment, (ii) each partial prepayment is in a minimum amount of $500,000, and (iii) any prepayment is accompanied by all accrued interest on the amount prepaid through the date of prepayment.</w:t>
      </w:r>
    </w:p>
    <w:p>
      <w:pPr>
        <w:pStyle w:val="Heading2"/>
        <w:spacing w:after="80" w:before="240"/>
      </w:pPr>
      <w:r>
        <w:rPr>
          <w:rFonts w:ascii="Arial" w:cs="Arial" w:eastAsia="Arial" w:hAnsi="Arial"/>
          <w:b/>
          <w:bCs/>
          <w:sz w:val="24"/>
          <w:szCs w:val="24"/>
        </w:rPr>
        <w:t xml:space="preserve">4. EXTENSION OPTIONS</w:t>
      </w:r>
    </w:p>
    <w:p>
      <w:pPr>
        <w:spacing w:after="80" w:before="80"/>
        <w:ind/>
      </w:pPr>
      <w:r>
        <w:rPr>
          <w:rFonts w:ascii="Arial" w:cs="Arial" w:eastAsia="Arial" w:hAnsi="Arial"/>
          <w:sz w:val="20"/>
          <w:szCs w:val="20"/>
        </w:rPr>
        <w:t xml:space="preserve">Subject to satisfaction of the Extension Conditions set forth in the Loan Agreement, Maker shall have the right to extend the Maturity Date for up to two (2) additional periods of twelve (12) months each (each, an "Extension Period"), upon payment of the Extension Fee, as more fully set forth in the Loan Agreement. The Maturity Date shall not be extended beyond April 1, 2029.</w:t>
      </w:r>
    </w:p>
    <w:p>
      <w:pPr>
        <w:pStyle w:val="Heading2"/>
        <w:spacing w:after="80" w:before="240"/>
      </w:pPr>
      <w:r>
        <w:rPr>
          <w:rFonts w:ascii="Arial" w:cs="Arial" w:eastAsia="Arial" w:hAnsi="Arial"/>
          <w:b/>
          <w:bCs/>
          <w:sz w:val="24"/>
          <w:szCs w:val="24"/>
        </w:rPr>
        <w:t xml:space="preserve">5. EVENTS OF DEFAULT AND ACCELERATION</w:t>
      </w:r>
    </w:p>
    <w:p>
      <w:pPr>
        <w:spacing w:after="80" w:before="80"/>
        <w:ind/>
      </w:pPr>
      <w:r>
        <w:rPr>
          <w:rFonts w:ascii="Arial" w:cs="Arial" w:eastAsia="Arial" w:hAnsi="Arial"/>
          <w:sz w:val="20"/>
          <w:szCs w:val="20"/>
        </w:rPr>
        <w:t xml:space="preserve">Upon the occurrence of any Event of Default under the Loan Agreement, at Holder's option, (i) the entire unpaid Principal Amount, together with all accrued and unpaid interest and any other amounts due hereunder, shall become immediately due and payable without further notice or demand, and (ii) interest shall accrue on all unpaid amounts at the Default Rate set forth in the Loan Agreement.</w:t>
      </w:r>
    </w:p>
    <w:p>
      <w:pPr>
        <w:pStyle w:val="Heading2"/>
        <w:spacing w:after="80" w:before="240"/>
      </w:pPr>
      <w:r>
        <w:rPr>
          <w:rFonts w:ascii="Arial" w:cs="Arial" w:eastAsia="Arial" w:hAnsi="Arial"/>
          <w:b/>
          <w:bCs/>
          <w:sz w:val="24"/>
          <w:szCs w:val="24"/>
        </w:rPr>
        <w:t xml:space="preserve">6. DEFAULT INTEREST</w:t>
      </w:r>
    </w:p>
    <w:p>
      <w:pPr>
        <w:spacing w:after="80" w:before="80"/>
        <w:ind/>
      </w:pPr>
      <w:r>
        <w:rPr>
          <w:rFonts w:ascii="Arial" w:cs="Arial" w:eastAsia="Arial" w:hAnsi="Arial"/>
          <w:sz w:val="20"/>
          <w:szCs w:val="20"/>
        </w:rPr>
        <w:t xml:space="preserve">Following the occurrence and during the continuance of an Event of Default, interest shall accrue on the unpaid Principal Amount at a rate per annum equal to the lesser of (i) the Interest Rate plus 500 basis points (5.00%) (the "Default Rate"), or (ii) the maximum rate permitted by applicable law. Default interest shall be payable on demand.</w:t>
      </w:r>
    </w:p>
    <w:p>
      <w:pPr>
        <w:pStyle w:val="Heading2"/>
        <w:spacing w:after="80" w:before="240"/>
      </w:pPr>
      <w:r>
        <w:rPr>
          <w:rFonts w:ascii="Arial" w:cs="Arial" w:eastAsia="Arial" w:hAnsi="Arial"/>
          <w:b/>
          <w:bCs/>
          <w:sz w:val="24"/>
          <w:szCs w:val="24"/>
        </w:rPr>
        <w:t xml:space="preserve">7. LOAN DOCUMENTS; SECURITY</w:t>
      </w:r>
    </w:p>
    <w:p>
      <w:pPr>
        <w:spacing w:after="80" w:before="80"/>
        <w:ind/>
      </w:pPr>
      <w:r>
        <w:rPr>
          <w:rFonts w:ascii="Arial" w:cs="Arial" w:eastAsia="Arial" w:hAnsi="Arial"/>
          <w:sz w:val="20"/>
          <w:szCs w:val="20"/>
        </w:rPr>
        <w:t xml:space="preserve">This Note is secured by, among other things, a Deed of Trust, Security Agreement, Fixture Filing and Assignment of Leases and Rents encumbering the real property and improvements commonly known as Cascade Ridge Apartments, 4200 Cascade Ridge Drive, Aurora, Colorado 80011 (the "Property"), and is further secured by, among other instruments, the Assignment of Leases and Rents, the Guaranty, the Environmental Indemnity Agreement, and the Cash Management Agreement, each dated as of the date hereof. Reference is made to the Loan Agreement and other Loan Documents (as defined in the Loan Agreement) for further terms, conditions, and provisions applicable hereto, all of which are incorporated herein by this reference.</w:t>
      </w:r>
    </w:p>
    <w:p>
      <w:pPr>
        <w:pStyle w:val="Heading2"/>
        <w:spacing w:after="80" w:before="240"/>
      </w:pPr>
      <w:r>
        <w:rPr>
          <w:rFonts w:ascii="Arial" w:cs="Arial" w:eastAsia="Arial" w:hAnsi="Arial"/>
          <w:b/>
          <w:bCs/>
          <w:sz w:val="24"/>
          <w:szCs w:val="24"/>
        </w:rPr>
        <w:t xml:space="preserve">8. WAIVERS</w:t>
      </w:r>
    </w:p>
    <w:p>
      <w:pPr>
        <w:spacing w:after="80" w:before="80"/>
        <w:ind/>
      </w:pPr>
      <w:r>
        <w:rPr>
          <w:rFonts w:ascii="Arial" w:cs="Arial" w:eastAsia="Arial" w:hAnsi="Arial"/>
          <w:sz w:val="20"/>
          <w:szCs w:val="20"/>
        </w:rPr>
        <w:t xml:space="preserve">Maker, to the fullest extent permitted by law, hereby waives presentment for payment, demand, protest, notice of protest, notice of dishonor, notice of default, and all other notices in connection with this Note, except as otherwise expressly provided in the Loan Agreement. Maker further waives any right to require Holder to proceed against any other person or entity or any security or collateral before proceeding against Maker.</w:t>
      </w:r>
    </w:p>
    <w:p>
      <w:pPr>
        <w:pStyle w:val="Heading2"/>
        <w:spacing w:after="80" w:before="240"/>
      </w:pPr>
      <w:r>
        <w:rPr>
          <w:rFonts w:ascii="Arial" w:cs="Arial" w:eastAsia="Arial" w:hAnsi="Arial"/>
          <w:b/>
          <w:bCs/>
          <w:sz w:val="24"/>
          <w:szCs w:val="24"/>
        </w:rPr>
        <w:t xml:space="preserve">9. GOVERNING LAW; VENUE</w:t>
      </w:r>
    </w:p>
    <w:p>
      <w:pPr>
        <w:spacing w:after="80" w:before="80"/>
        <w:ind/>
      </w:pPr>
      <w:r>
        <w:rPr>
          <w:rFonts w:ascii="Arial" w:cs="Arial" w:eastAsia="Arial" w:hAnsi="Arial"/>
          <w:sz w:val="20"/>
          <w:szCs w:val="20"/>
        </w:rPr>
        <w:t xml:space="preserve">This Note shall be governed by and construed in accordance with the laws of the State of Colorado without regard to conflict of law principles. Any action arising under or relating to this Note shall be brought exclusively in the federal or state courts located in Arapahoe County, Colorado, and Maker irrevocably consents to the jurisdiction and venue of such courts.</w:t>
      </w:r>
    </w:p>
    <w:p>
      <w:pPr>
        <w:pStyle w:val="Heading2"/>
        <w:spacing w:after="80" w:before="240"/>
      </w:pPr>
      <w:r>
        <w:rPr>
          <w:rFonts w:ascii="Arial" w:cs="Arial" w:eastAsia="Arial" w:hAnsi="Arial"/>
          <w:b/>
          <w:bCs/>
          <w:sz w:val="24"/>
          <w:szCs w:val="24"/>
        </w:rPr>
        <w:t xml:space="preserve">10. ATTORNEYS' FEES</w:t>
      </w:r>
    </w:p>
    <w:p>
      <w:pPr>
        <w:spacing w:after="80" w:before="80"/>
        <w:ind/>
      </w:pPr>
      <w:r>
        <w:rPr>
          <w:rFonts w:ascii="Arial" w:cs="Arial" w:eastAsia="Arial" w:hAnsi="Arial"/>
          <w:sz w:val="20"/>
          <w:szCs w:val="20"/>
        </w:rPr>
        <w:t xml:space="preserve">If this Note is placed in the hands of an attorney for collection, or if Holder incurs any costs, expenses, or attorneys' fees in any proceeding to enforce or interpret this Note or the other Loan Documents, Maker agrees to pay all such reasonable attorneys' fees, costs, and expenses incurred by Holder in connection therewith, including appellate proceedings.</w:t>
      </w:r>
    </w:p>
    <w:p>
      <w:pPr>
        <w:pStyle w:val="Heading2"/>
        <w:spacing w:after="80" w:before="240"/>
      </w:pPr>
      <w:r>
        <w:rPr>
          <w:rFonts w:ascii="Arial" w:cs="Arial" w:eastAsia="Arial" w:hAnsi="Arial"/>
          <w:b/>
          <w:bCs/>
          <w:sz w:val="24"/>
          <w:szCs w:val="24"/>
        </w:rPr>
        <w:t xml:space="preserve">11. USURY</w:t>
      </w:r>
    </w:p>
    <w:p>
      <w:pPr>
        <w:spacing w:after="80" w:before="80"/>
        <w:ind/>
      </w:pPr>
      <w:r>
        <w:rPr>
          <w:rFonts w:ascii="Arial" w:cs="Arial" w:eastAsia="Arial" w:hAnsi="Arial"/>
          <w:sz w:val="20"/>
          <w:szCs w:val="20"/>
        </w:rPr>
        <w:t xml:space="preserve">In no event shall the interest charged hereunder exceed the maximum rate permitted by applicable law. If any provision of this Note is found to be in violation of applicable usury laws, such provision shall be void to the extent necessary to eliminate the violation, and the remainder of this Note shall remain in full force and effect.</w:t>
      </w:r>
    </w:p>
    <w:p>
      <w:pPr>
        <w:pStyle w:val="Heading2"/>
        <w:spacing w:after="80" w:before="240"/>
      </w:pPr>
      <w:r>
        <w:rPr>
          <w:rFonts w:ascii="Arial" w:cs="Arial" w:eastAsia="Arial" w:hAnsi="Arial"/>
          <w:b/>
          <w:bCs/>
          <w:sz w:val="24"/>
          <w:szCs w:val="24"/>
        </w:rPr>
        <w:t xml:space="preserve">12. INTEGRATION; AMENDMENTS</w:t>
      </w:r>
    </w:p>
    <w:p>
      <w:pPr>
        <w:spacing w:after="80" w:before="80"/>
        <w:ind/>
      </w:pPr>
      <w:r>
        <w:rPr>
          <w:rFonts w:ascii="Arial" w:cs="Arial" w:eastAsia="Arial" w:hAnsi="Arial"/>
          <w:sz w:val="20"/>
          <w:szCs w:val="20"/>
        </w:rPr>
        <w:t xml:space="preserve">This Note, together with the Loan Agreement and the other Loan Documents, constitutes the entire agreement of Maker and Holder with respect to the subject matter hereof and supersedes all prior negotiations, representations, warranties, and understandings. This Note may not be amended, modified, or supplemented except by a written instrument executed by both Maker and Holder.</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b/>
          <w:bCs/>
          <w:sz w:val="20"/>
          <w:szCs w:val="20"/>
        </w:rPr>
        <w:t xml:space="preserve">IN WITNESS WHEREOF, Maker has executed this Promissory Note as of the date first written above.</w:t>
      </w:r>
    </w:p>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sz w:val="20"/>
                <w:szCs w:val="20"/>
              </w:rPr>
              <w:t xml:space="preserve">MAKER:</w:t>
            </w:r>
          </w:p>
          <w:p>
            <w:pPr>
              <w:spacing w:after="60" w:before="0"/>
            </w:pPr>
            <w:r>
              <w:t xml:space="preserve"/>
            </w:r>
          </w:p>
          <w:p>
            <w:r>
              <w:rPr>
                <w:rFonts w:ascii="Arial" w:cs="Arial" w:eastAsia="Arial" w:hAnsi="Arial"/>
                <w:sz w:val="20"/>
                <w:szCs w:val="20"/>
              </w:rPr>
              <w:t xml:space="preserve">MERIDIAN CAPITAL HOLDINGS IV LLC,</w:t>
            </w:r>
          </w:p>
          <w:p>
            <w:r>
              <w:rPr>
                <w:rFonts w:ascii="Arial" w:cs="Arial" w:eastAsia="Arial" w:hAnsi="Arial"/>
                <w:sz w:val="20"/>
                <w:szCs w:val="20"/>
              </w:rPr>
              <w:t xml:space="preserve">a Delaware limited liability company</w:t>
            </w:r>
          </w:p>
          <w:p>
            <w:pPr>
              <w:spacing w:after="60" w:before="0"/>
            </w:pPr>
            <w:r>
              <w:t xml:space="preserve"/>
            </w:r>
          </w:p>
          <w:p>
            <w:pPr>
              <w:spacing w:after="60" w:before="0"/>
            </w:pPr>
            <w:r>
              <w:t xml:space="preserve"/>
            </w:r>
          </w:p>
          <w:p>
            <w:r>
              <w:rPr>
                <w:rFonts w:ascii="Arial" w:cs="Arial" w:eastAsia="Arial" w:hAnsi="Arial"/>
                <w:sz w:val="20"/>
                <w:szCs w:val="20"/>
              </w:rPr>
              <w:t xml:space="preserve">By: ___________________________</w:t>
            </w:r>
          </w:p>
          <w:p>
            <w:r>
              <w:rPr>
                <w:rFonts w:ascii="Arial" w:cs="Arial" w:eastAsia="Arial" w:hAnsi="Arial"/>
                <w:sz w:val="20"/>
                <w:szCs w:val="20"/>
              </w:rPr>
              <w:t xml:space="preserve">Name: James T. Harrington</w:t>
            </w:r>
          </w:p>
          <w:p>
            <w:r>
              <w:rPr>
                <w:rFonts w:ascii="Arial" w:cs="Arial" w:eastAsia="Arial" w:hAnsi="Arial"/>
                <w:sz w:val="20"/>
                <w:szCs w:val="20"/>
              </w:rPr>
              <w:t xml:space="preserve">Title: Manager / Authorized Signatory</w:t>
            </w:r>
          </w:p>
          <w:p>
            <w:r>
              <w:rPr>
                <w:rFonts w:ascii="Arial" w:cs="Arial" w:eastAsia="Arial" w:hAnsi="Arial"/>
                <w:sz w:val="20"/>
                <w:szCs w:val="20"/>
              </w:rPr>
              <w:t xml:space="preserve">Date: March 15, 2024</w:t>
            </w:r>
          </w:p>
        </w:tc>
        <w:tc>
          <w:tcPr>
            <w:tcW w:type="dxa" w:w="4680"/>
            <w:tcBorders>
              <w:top w:val="none"/>
              <w:left w:val="none"/>
              <w:bottom w:val="none"/>
              <w:right w:val="none"/>
            </w:tcBorders>
          </w:tcPr>
          <w:p>
            <w:r>
              <w:rPr>
                <w:rFonts w:ascii="Arial" w:cs="Arial" w:eastAsia="Arial" w:hAnsi="Arial"/>
                <w:b/>
                <w:bCs/>
                <w:sz w:val="20"/>
                <w:szCs w:val="20"/>
              </w:rPr>
              <w:t xml:space="preserve">ACKNOWLEDGED BY HOLDER:</w:t>
            </w:r>
          </w:p>
          <w:p>
            <w:pPr>
              <w:spacing w:after="60" w:before="0"/>
            </w:pPr>
            <w:r>
              <w:t xml:space="preserve"/>
            </w:r>
          </w:p>
          <w:p>
            <w:r>
              <w:rPr>
                <w:rFonts w:ascii="Arial" w:cs="Arial" w:eastAsia="Arial" w:hAnsi="Arial"/>
                <w:sz w:val="20"/>
                <w:szCs w:val="20"/>
              </w:rPr>
              <w:t xml:space="preserve">HARTWELL CAPITAL PARTNERS LLC,</w:t>
            </w:r>
          </w:p>
          <w:p>
            <w:r>
              <w:rPr>
                <w:rFonts w:ascii="Arial" w:cs="Arial" w:eastAsia="Arial" w:hAnsi="Arial"/>
                <w:sz w:val="20"/>
                <w:szCs w:val="20"/>
              </w:rPr>
              <w:t xml:space="preserve">a Delaware limited liability company</w:t>
            </w:r>
          </w:p>
          <w:p>
            <w:pPr>
              <w:spacing w:after="60" w:before="0"/>
            </w:pPr>
            <w:r>
              <w:t xml:space="preserve"/>
            </w:r>
          </w:p>
          <w:p>
            <w:pPr>
              <w:spacing w:after="60" w:before="0"/>
            </w:pPr>
            <w:r>
              <w:t xml:space="preserve"/>
            </w:r>
          </w:p>
          <w:p>
            <w:r>
              <w:rPr>
                <w:rFonts w:ascii="Arial" w:cs="Arial" w:eastAsia="Arial" w:hAnsi="Arial"/>
                <w:sz w:val="20"/>
                <w:szCs w:val="20"/>
              </w:rPr>
              <w:t xml:space="preserve">By: ___________________________</w:t>
            </w:r>
          </w:p>
          <w:p>
            <w:r>
              <w:rPr>
                <w:rFonts w:ascii="Arial" w:cs="Arial" w:eastAsia="Arial" w:hAnsi="Arial"/>
                <w:sz w:val="20"/>
                <w:szCs w:val="20"/>
              </w:rPr>
              <w:t xml:space="preserve">Name: Richard L. Caldwell</w:t>
            </w:r>
          </w:p>
          <w:p>
            <w:r>
              <w:rPr>
                <w:rFonts w:ascii="Arial" w:cs="Arial" w:eastAsia="Arial" w:hAnsi="Arial"/>
                <w:sz w:val="20"/>
                <w:szCs w:val="20"/>
              </w:rPr>
              <w:t xml:space="preserve">Title: Managing Director</w:t>
            </w:r>
          </w:p>
          <w:p>
            <w:r>
              <w:rPr>
                <w:rFonts w:ascii="Arial" w:cs="Arial" w:eastAsia="Arial" w:hAnsi="Arial"/>
                <w:sz w:val="20"/>
                <w:szCs w:val="20"/>
              </w:rPr>
              <w:t xml:space="preserve">Date: March 15, 2024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2026-03-05T20:36:02.301Z</dcterms:created>
  <dcterms:modified xsi:type="dcterms:W3CDTF">2026-03-05T20:36:02.302Z</dcterms:modified>
</cp:coreProperties>
</file>

<file path=docProps/custom.xml><?xml version="1.0" encoding="utf-8"?>
<Properties xmlns="http://schemas.openxmlformats.org/officeDocument/2006/custom-properties" xmlns:vt="http://schemas.openxmlformats.org/officeDocument/2006/docPropsVTypes"/>
</file>