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48"/>
          <w:szCs w:val="48"/>
        </w:rPr>
        <w:t xml:space="preserve">GUARANTY AGREEMENT</w:t>
      </w:r>
    </w:p>
    <w:p>
      <w:pPr>
        <w:spacing w:after="60" w:before="0"/>
        <w:jc w:val="center"/>
      </w:pPr>
      <w:r>
        <w:rPr>
          <w:rFonts w:ascii="Arial" w:cs="Arial" w:eastAsia="Arial" w:hAnsi="Arial"/>
          <w:color w:val="1F3864"/>
          <w:sz w:val="26"/>
          <w:szCs w:val="26"/>
        </w:rPr>
        <w:t xml:space="preserve">LIMITED RECOURSE GUARANTY WITH CARVEOUTS</w:t>
      </w:r>
    </w:p>
    <w:p>
      <w:pPr>
        <w:spacing w:after="480" w:before="0"/>
        <w:jc w:val="center"/>
      </w:pPr>
      <w:r>
        <w:rPr>
          <w:rFonts w:ascii="Arial" w:cs="Arial" w:eastAsia="Arial" w:hAnsi="Arial"/>
          <w:color w:val="555555"/>
          <w:sz w:val="22"/>
          <w:szCs w:val="22"/>
        </w:rPr>
        <w:t xml:space="preserve">Cascade Ridge Apartments — March 15,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Guarantors: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Meridian Capital Group LLC (entity) and James T. Harrington (individual)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Beneficiary (Lender):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Hartwell Capital Partners LLC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Borrower: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Meridian Capital Holdings IV LLC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Guaranteed Obligations: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$28,350,000 Bridge Loan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Guaranty Type: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Non-recourse carveout (bad-boy) guaranty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15, 2024</w:t>
            </w:r>
          </w:p>
        </w:tc>
      </w:tr>
    </w:tbl>
    <w:p>
      <w:pPr>
        <w:spacing w:after="60" w:before="0"/>
      </w:pPr>
      <w:r>
        <w:t xml:space="preserve"/>
      </w:r>
    </w:p>
    <w:p>
      <w:pPr>
        <w:spacing w:after="60" w:before="0"/>
      </w:pPr>
      <w:r>
        <w:t xml:space="preserve"/>
      </w:r>
    </w:p>
    <w:p>
      <w:r>
        <w:br w:type="page"/>
      </w:r>
    </w:p>
    <w:p>
      <w:pPr>
        <w:pStyle w:val="Heading1"/>
        <w:spacing w:after="120" w:before="360"/>
      </w:pPr>
      <w:r>
        <w:rPr>
          <w:rFonts w:ascii="Arial" w:cs="Arial" w:eastAsia="Arial" w:hAnsi="Arial"/>
          <w:b/>
          <w:bCs/>
          <w:sz w:val="28"/>
          <w:szCs w:val="28"/>
        </w:rPr>
        <w:t xml:space="preserve">GUARANTY AGREEMENT</w:t>
      </w:r>
    </w:p>
    <w:p>
      <w:pPr>
        <w:spacing w:after="80" w:before="80"/>
        <w:ind/>
      </w:pPr>
      <w:r>
        <w:rPr>
          <w:rFonts w:ascii="Arial" w:cs="Arial" w:eastAsia="Arial" w:hAnsi="Arial"/>
          <w:sz w:val="20"/>
          <w:szCs w:val="20"/>
        </w:rPr>
        <w:t xml:space="preserve">THIS GUARANTY AGREEMENT (this "Guaranty") is entered into as of March 15, 2024, by and among MERIDIAN CAPITAL GROUP LLC, a Delaware limited liability company, and JAMES T. HARRINGTON, an individual residing in the State of Colorado (collectively and jointly and severally, "Guarantor"), in favor of HARTWELL CAPITAL PARTNERS LLC, a Delaware limited liability company ("Lender").</w:t>
      </w:r>
    </w:p>
    <w:p>
      <w:pPr>
        <w:pStyle w:val="Heading2"/>
        <w:spacing w:after="80" w:before="240"/>
      </w:pPr>
      <w:r>
        <w:rPr>
          <w:rFonts w:ascii="Arial" w:cs="Arial" w:eastAsia="Arial" w:hAnsi="Arial"/>
          <w:b/>
          <w:bCs/>
          <w:sz w:val="24"/>
          <w:szCs w:val="24"/>
        </w:rPr>
        <w:t xml:space="preserve">RECITALS</w:t>
      </w:r>
    </w:p>
    <w:p>
      <w:pPr>
        <w:spacing w:after="80" w:before="80"/>
        <w:ind/>
      </w:pPr>
      <w:r>
        <w:rPr>
          <w:rFonts w:ascii="Arial" w:cs="Arial" w:eastAsia="Arial" w:hAnsi="Arial"/>
          <w:sz w:val="20"/>
          <w:szCs w:val="20"/>
        </w:rPr>
        <w:t xml:space="preserve">A.   Lender is making a loan in the principal amount of $28,350,000 (the "Loan") to MERIDIAN CAPITAL HOLDINGS IV LLC, a Delaware limited liability company ("Borrower"), pursuant to that certain Loan Agreement dated as of the date hereof (as amended, the "Loan Agreement").</w:t>
      </w:r>
    </w:p>
    <w:p>
      <w:pPr>
        <w:spacing w:after="80" w:before="80"/>
        <w:ind/>
      </w:pPr>
      <w:r>
        <w:rPr>
          <w:rFonts w:ascii="Arial" w:cs="Arial" w:eastAsia="Arial" w:hAnsi="Arial"/>
          <w:sz w:val="20"/>
          <w:szCs w:val="20"/>
        </w:rPr>
        <w:t xml:space="preserve">B.   Guarantor has a direct or indirect ownership interest in Borrower and will benefit from Lender's making of the Loan.</w:t>
      </w:r>
    </w:p>
    <w:p>
      <w:pPr>
        <w:spacing w:after="80" w:before="80"/>
        <w:ind/>
      </w:pPr>
      <w:r>
        <w:rPr>
          <w:rFonts w:ascii="Arial" w:cs="Arial" w:eastAsia="Arial" w:hAnsi="Arial"/>
          <w:sz w:val="20"/>
          <w:szCs w:val="20"/>
        </w:rPr>
        <w:t xml:space="preserve">C.   As a condition to making the Loan, Lender requires that Guarantor execute and deliver this Guaranty to support repayment of the Loan and performance of the Loan Documents.</w:t>
      </w:r>
    </w:p>
    <w:p>
      <w:pPr>
        <w:pStyle w:val="Heading2"/>
        <w:spacing w:after="80" w:before="240"/>
      </w:pPr>
      <w:r>
        <w:rPr>
          <w:rFonts w:ascii="Arial" w:cs="Arial" w:eastAsia="Arial" w:hAnsi="Arial"/>
          <w:b/>
          <w:bCs/>
          <w:sz w:val="24"/>
          <w:szCs w:val="24"/>
        </w:rPr>
        <w:t xml:space="preserve">ARTICLE 1 — SCOPE OF GUARANTY: NON-RECOURSE STRUCTURE</w:t>
      </w:r>
    </w:p>
    <w:p>
      <w:pPr>
        <w:spacing w:after="80" w:before="80"/>
        <w:ind/>
      </w:pPr>
      <w:r>
        <w:rPr>
          <w:rFonts w:ascii="Arial" w:cs="Arial" w:eastAsia="Arial" w:hAnsi="Arial"/>
          <w:sz w:val="20"/>
          <w:szCs w:val="20"/>
        </w:rPr>
        <w:t xml:space="preserve">1.1  Non-Recourse to Borrower. Subject to the Carveout Obligations set forth in Article 2, Lender agrees that its recourse against Borrower under the Loan Documents shall be limited to enforcement of its rights against the Trust Property, the Rents, and the other collateral described in the Loan Documents.</w:t>
      </w:r>
    </w:p>
    <w:p>
      <w:pPr>
        <w:spacing w:after="80" w:before="80"/>
        <w:ind/>
      </w:pPr>
      <w:r>
        <w:rPr>
          <w:rFonts w:ascii="Arial" w:cs="Arial" w:eastAsia="Arial" w:hAnsi="Arial"/>
          <w:sz w:val="20"/>
          <w:szCs w:val="20"/>
        </w:rPr>
        <w:t xml:space="preserve">1.2  Guaranty of Carveout Obligations. Guarantor hereby unconditionally, absolutely, and irrevocably guarantees to Lender the full, prompt, and complete payment and performance of the Carveout Obligations (as defined in Article 2) as and when the same become due and payable. This Guaranty is a guaranty of payment and performance, not merely of collection.</w:t>
      </w:r>
    </w:p>
    <w:p>
      <w:pPr>
        <w:spacing w:after="80" w:before="80"/>
        <w:ind/>
      </w:pPr>
      <w:r>
        <w:rPr>
          <w:rFonts w:ascii="Arial" w:cs="Arial" w:eastAsia="Arial" w:hAnsi="Arial"/>
          <w:sz w:val="20"/>
          <w:szCs w:val="20"/>
        </w:rPr>
        <w:t xml:space="preserve">1.3  Full Recourse Trigger. Notwithstanding the non-recourse carveout structure set forth herein, this Guaranty shall become a full recourse obligation of Guarantor (i.e., Guarantor shall be personally liable for the entire Guaranteed Obligations, including the full outstanding principal balance, accrued interest, fees, and costs) upon the occurrence of any Full Recourse Trigger Event set forth in Section 2.3.</w:t>
      </w:r>
    </w:p>
    <w:p>
      <w:pPr>
        <w:pStyle w:val="Heading2"/>
        <w:spacing w:after="80" w:before="240"/>
      </w:pPr>
      <w:r>
        <w:rPr>
          <w:rFonts w:ascii="Arial" w:cs="Arial" w:eastAsia="Arial" w:hAnsi="Arial"/>
          <w:b/>
          <w:bCs/>
          <w:sz w:val="24"/>
          <w:szCs w:val="24"/>
        </w:rPr>
        <w:t xml:space="preserve">ARTICLE 2 — CARVEOUT OBLIGATIONS AND FULL RECOURSE TRIGGERS</w:t>
      </w:r>
    </w:p>
    <w:p>
      <w:pPr>
        <w:spacing w:after="80" w:before="80"/>
        <w:ind/>
      </w:pPr>
      <w:r>
        <w:rPr>
          <w:rFonts w:ascii="Arial" w:cs="Arial" w:eastAsia="Arial" w:hAnsi="Arial"/>
          <w:sz w:val="20"/>
          <w:szCs w:val="20"/>
        </w:rPr>
        <w:t xml:space="preserve">2.1  Carveout Obligations. Guarantor shall be personally liable (on an unlimited basis) for any and all actual losses, damages, costs, and expenses (including reasonable attorneys' fees) suffered or incurred by Lender arising from or related to any of the following acts, events, or omissions (collectively, the "Carveout Obligations"):</w:t>
      </w:r>
    </w:p>
    <w:p>
      <w:pPr>
        <w:spacing w:after="80" w:before="80"/>
        <w:ind w:left="720"/>
      </w:pPr>
      <w:r>
        <w:rPr>
          <w:rFonts w:ascii="Arial" w:cs="Arial" w:eastAsia="Arial" w:hAnsi="Arial"/>
          <w:b/>
          <w:bCs/>
          <w:sz w:val="20"/>
          <w:szCs w:val="20"/>
        </w:rPr>
        <w:t xml:space="preserve">(a)  Fraud. </w:t>
      </w:r>
      <w:r>
        <w:rPr>
          <w:rFonts w:ascii="Arial" w:cs="Arial" w:eastAsia="Arial" w:hAnsi="Arial"/>
          <w:sz w:val="20"/>
          <w:szCs w:val="20"/>
        </w:rPr>
        <w:t xml:space="preserve">Actual fraud by Borrower or any Guarantor.</w:t>
      </w:r>
    </w:p>
    <w:p>
      <w:pPr>
        <w:spacing w:after="80" w:before="80"/>
        <w:ind w:left="720"/>
      </w:pPr>
      <w:r>
        <w:rPr>
          <w:rFonts w:ascii="Arial" w:cs="Arial" w:eastAsia="Arial" w:hAnsi="Arial"/>
          <w:b/>
          <w:bCs/>
          <w:sz w:val="20"/>
          <w:szCs w:val="20"/>
        </w:rPr>
        <w:t xml:space="preserve">(b)  Intentional Misrep.. </w:t>
      </w:r>
      <w:r>
        <w:rPr>
          <w:rFonts w:ascii="Arial" w:cs="Arial" w:eastAsia="Arial" w:hAnsi="Arial"/>
          <w:sz w:val="20"/>
          <w:szCs w:val="20"/>
        </w:rPr>
        <w:t xml:space="preserve">Material intentional misrepresentation in connection with any Loan Document or any report, certificate, or financial statement delivered to Lender.</w:t>
      </w:r>
    </w:p>
    <w:p>
      <w:pPr>
        <w:spacing w:after="80" w:before="80"/>
        <w:ind w:left="720"/>
      </w:pPr>
      <w:r>
        <w:rPr>
          <w:rFonts w:ascii="Arial" w:cs="Arial" w:eastAsia="Arial" w:hAnsi="Arial"/>
          <w:b/>
          <w:bCs/>
          <w:sz w:val="20"/>
          <w:szCs w:val="20"/>
        </w:rPr>
        <w:t xml:space="preserve">(c)  Misapplication of Funds. </w:t>
      </w:r>
      <w:r>
        <w:rPr>
          <w:rFonts w:ascii="Arial" w:cs="Arial" w:eastAsia="Arial" w:hAnsi="Arial"/>
          <w:sz w:val="20"/>
          <w:szCs w:val="20"/>
        </w:rPr>
        <w:t xml:space="preserve">Misappropriation, conversion, or misapplication of Rents, insurance proceeds, condemnation awards, or security deposits in violation of the Loan Documents.</w:t>
      </w:r>
    </w:p>
    <w:p>
      <w:pPr>
        <w:spacing w:after="80" w:before="80"/>
        <w:ind w:left="720"/>
      </w:pPr>
      <w:r>
        <w:rPr>
          <w:rFonts w:ascii="Arial" w:cs="Arial" w:eastAsia="Arial" w:hAnsi="Arial"/>
          <w:b/>
          <w:bCs/>
          <w:sz w:val="20"/>
          <w:szCs w:val="20"/>
        </w:rPr>
        <w:t xml:space="preserve">(d)  Voluntary Bankruptcy. </w:t>
      </w:r>
      <w:r>
        <w:rPr>
          <w:rFonts w:ascii="Arial" w:cs="Arial" w:eastAsia="Arial" w:hAnsi="Arial"/>
          <w:sz w:val="20"/>
          <w:szCs w:val="20"/>
        </w:rPr>
        <w:t xml:space="preserve">Filing or colluding in a voluntary bankruptcy, insolvency, or reorganization proceeding with respect to Borrower.</w:t>
      </w:r>
    </w:p>
    <w:p>
      <w:pPr>
        <w:spacing w:after="80" w:before="80"/>
        <w:ind w:left="720"/>
      </w:pPr>
      <w:r>
        <w:rPr>
          <w:rFonts w:ascii="Arial" w:cs="Arial" w:eastAsia="Arial" w:hAnsi="Arial"/>
          <w:b/>
          <w:bCs/>
          <w:sz w:val="20"/>
          <w:szCs w:val="20"/>
        </w:rPr>
        <w:t xml:space="preserve">(e)  Environmental. </w:t>
      </w:r>
      <w:r>
        <w:rPr>
          <w:rFonts w:ascii="Arial" w:cs="Arial" w:eastAsia="Arial" w:hAnsi="Arial"/>
          <w:sz w:val="20"/>
          <w:szCs w:val="20"/>
        </w:rPr>
        <w:t xml:space="preserve">Liability, loss, or damage arising from a violation of any Environmental Law or the presence of Hazardous Materials at the Property caused or permitted by Borrower or any Guarantor.</w:t>
      </w:r>
    </w:p>
    <w:p>
      <w:pPr>
        <w:spacing w:after="80" w:before="80"/>
        <w:ind w:left="720"/>
      </w:pPr>
      <w:r>
        <w:rPr>
          <w:rFonts w:ascii="Arial" w:cs="Arial" w:eastAsia="Arial" w:hAnsi="Arial"/>
          <w:b/>
          <w:bCs/>
          <w:sz w:val="20"/>
          <w:szCs w:val="20"/>
        </w:rPr>
        <w:t xml:space="preserve">(f)  Waste. </w:t>
      </w:r>
      <w:r>
        <w:rPr>
          <w:rFonts w:ascii="Arial" w:cs="Arial" w:eastAsia="Arial" w:hAnsi="Arial"/>
          <w:sz w:val="20"/>
          <w:szCs w:val="20"/>
        </w:rPr>
        <w:t xml:space="preserve">Physical waste or damage to the Property caused by Borrower or any Guarantor.</w:t>
      </w:r>
    </w:p>
    <w:p>
      <w:pPr>
        <w:spacing w:after="80" w:before="80"/>
        <w:ind w:left="720"/>
      </w:pPr>
      <w:r>
        <w:rPr>
          <w:rFonts w:ascii="Arial" w:cs="Arial" w:eastAsia="Arial" w:hAnsi="Arial"/>
          <w:b/>
          <w:bCs/>
          <w:sz w:val="20"/>
          <w:szCs w:val="20"/>
        </w:rPr>
        <w:t xml:space="preserve">(g)  Interference with Enforcement. </w:t>
      </w:r>
      <w:r>
        <w:rPr>
          <w:rFonts w:ascii="Arial" w:cs="Arial" w:eastAsia="Arial" w:hAnsi="Arial"/>
          <w:sz w:val="20"/>
          <w:szCs w:val="20"/>
        </w:rPr>
        <w:t xml:space="preserve">Interference with, obstruction of, or failure to cooperate with Lender's exercise of remedies under the Loan Documents, including interference with a foreclosure or receivership.</w:t>
      </w:r>
    </w:p>
    <w:p>
      <w:pPr>
        <w:spacing w:after="80" w:before="80"/>
        <w:ind w:left="720"/>
      </w:pPr>
      <w:r>
        <w:rPr>
          <w:rFonts w:ascii="Arial" w:cs="Arial" w:eastAsia="Arial" w:hAnsi="Arial"/>
          <w:b/>
          <w:bCs/>
          <w:sz w:val="20"/>
          <w:szCs w:val="20"/>
        </w:rPr>
        <w:t xml:space="preserve">(h)  Insurance / Condemnation Proceeds. </w:t>
      </w:r>
      <w:r>
        <w:rPr>
          <w:rFonts w:ascii="Arial" w:cs="Arial" w:eastAsia="Arial" w:hAnsi="Arial"/>
          <w:sz w:val="20"/>
          <w:szCs w:val="20"/>
        </w:rPr>
        <w:t xml:space="preserve">Failure to apply insurance or condemnation proceeds as required by the Loan Agreement.</w:t>
      </w:r>
    </w:p>
    <w:p>
      <w:pPr>
        <w:spacing w:after="80" w:before="80"/>
        <w:ind w:left="720"/>
      </w:pPr>
      <w:r>
        <w:rPr>
          <w:rFonts w:ascii="Arial" w:cs="Arial" w:eastAsia="Arial" w:hAnsi="Arial"/>
          <w:b/>
          <w:bCs/>
          <w:sz w:val="20"/>
          <w:szCs w:val="20"/>
        </w:rPr>
        <w:t xml:space="preserve">(i)  Operating Account Misuse. </w:t>
      </w:r>
      <w:r>
        <w:rPr>
          <w:rFonts w:ascii="Arial" w:cs="Arial" w:eastAsia="Arial" w:hAnsi="Arial"/>
          <w:sz w:val="20"/>
          <w:szCs w:val="20"/>
        </w:rPr>
        <w:t xml:space="preserve">Transfer of operating account funds in excess of approved operating expenses and approved capital expenditures without Lender's prior written consent.</w:t>
      </w:r>
    </w:p>
    <w:p>
      <w:pPr>
        <w:spacing w:after="60" w:before="0"/>
      </w:pPr>
      <w:r>
        <w:t xml:space="preserve"/>
      </w:r>
    </w:p>
    <w:p>
      <w:pPr>
        <w:spacing w:after="80" w:before="80"/>
        <w:ind/>
      </w:pPr>
      <w:r>
        <w:rPr>
          <w:rFonts w:ascii="Arial" w:cs="Arial" w:eastAsia="Arial" w:hAnsi="Arial"/>
          <w:sz w:val="20"/>
          <w:szCs w:val="20"/>
        </w:rPr>
        <w:t xml:space="preserve">2.2  Table of Carveout Categories. The following table summarizes the material carveout categories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Carveout Category</w:t>
            </w:r>
          </w:p>
        </w:tc>
        <w:tc>
          <w:tcPr>
            <w:tcW w:type="dxa" w:w="64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Fraud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Actual fraud by Borrower or any Guarantor</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Intentional Misrep.</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Material intentional misrepresentation in connection with any Loan Document or any report, certificate, or financial statement delivered to Lender</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Misapplication of Funds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Misappropriation, conversion, or misapplication of Rents, insurance proceeds, condemnation awards, or security deposits in violation of the Loan Documents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Voluntary Bankruptcy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Filing or colluding in a voluntary bankruptcy, insolvency, or reorganization proceeding with respect to Borrower</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Environmental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Liability, loss, or damage arising from a violation of any Environmental Law or the presence of Hazardous Materials at the Property caused or permitted by Borrower or any Guarantor</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Waste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Physical waste or damage to the Property caused by Borrower or any Guarantor</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Interference with Enforcement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Interference with, obstruction of, or failure to cooperate with Lender's exercise of remedies under the Loan Documents, including interference with a foreclosure or receivership</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Insurance / Condemnation Proceeds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Failure to apply insurance or condemnation proceeds as required by the Loan Agreement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Operating Account Misuse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Transfer of operating account funds in excess of approved operating expenses and approved capital expenditures without Lender's prior written consent</w:t>
            </w:r>
          </w:p>
        </w:tc>
      </w:tr>
    </w:tbl>
    <w:p>
      <w:pPr>
        <w:spacing w:after="60" w:before="0"/>
      </w:pPr>
      <w:r>
        <w:t xml:space="preserve"/>
      </w:r>
    </w:p>
    <w:p>
      <w:pPr>
        <w:spacing w:after="80" w:before="80"/>
        <w:ind/>
      </w:pPr>
      <w:r>
        <w:rPr>
          <w:rFonts w:ascii="Arial" w:cs="Arial" w:eastAsia="Arial" w:hAnsi="Arial"/>
          <w:sz w:val="20"/>
          <w:szCs w:val="20"/>
        </w:rPr>
        <w:t xml:space="preserve">2.3  Full Recourse Trigger Events. Upon the occurrence of any of the following events (each, a "Full Recourse Trigger Event"), this Guaranty shall automatically become a full recourse personal liability of Guarantor for all Guaranteed Obligations:</w:t>
      </w:r>
    </w:p>
    <w:p>
      <w:pPr>
        <w:spacing w:after="80" w:before="80"/>
        <w:ind w:left="720"/>
      </w:pPr>
      <w:r>
        <w:rPr>
          <w:rFonts w:ascii="Arial" w:cs="Arial" w:eastAsia="Arial" w:hAnsi="Arial"/>
          <w:sz w:val="20"/>
          <w:szCs w:val="20"/>
        </w:rPr>
        <w:t xml:space="preserve">(a)  Voluntary Bankruptcy. Borrower files a voluntary petition in bankruptcy, makes a general assignment for the benefit of creditors, or applies for or consents to the appointment of a trustee, receiver, or liquidator for any substantial part of its assets;</w:t>
      </w:r>
    </w:p>
    <w:p>
      <w:pPr>
        <w:spacing w:after="80" w:before="80"/>
        <w:ind w:left="720"/>
      </w:pPr>
      <w:r>
        <w:rPr>
          <w:rFonts w:ascii="Arial" w:cs="Arial" w:eastAsia="Arial" w:hAnsi="Arial"/>
          <w:sz w:val="20"/>
          <w:szCs w:val="20"/>
        </w:rPr>
        <w:t xml:space="preserve">(b)  Collusive Involuntary Bankruptcy. Borrower, directly or indirectly, colludes with, solicits, or encourages the filing of an involuntary bankruptcy petition against Borrower;</w:t>
      </w:r>
    </w:p>
    <w:p>
      <w:pPr>
        <w:spacing w:after="80" w:before="80"/>
        <w:ind w:left="720"/>
      </w:pPr>
      <w:r>
        <w:rPr>
          <w:rFonts w:ascii="Arial" w:cs="Arial" w:eastAsia="Arial" w:hAnsi="Arial"/>
          <w:sz w:val="20"/>
          <w:szCs w:val="20"/>
        </w:rPr>
        <w:t xml:space="preserve">(c)  Transfer Without Consent. Borrower transfers any interest in the Property or Borrower in violation of the transfer restrictions in the Loan Agreement without Lender's prior written consent; or</w:t>
      </w:r>
    </w:p>
    <w:p>
      <w:pPr>
        <w:spacing w:after="80" w:before="80"/>
        <w:ind w:left="720"/>
      </w:pPr>
      <w:r>
        <w:rPr>
          <w:rFonts w:ascii="Arial" w:cs="Arial" w:eastAsia="Arial" w:hAnsi="Arial"/>
          <w:sz w:val="20"/>
          <w:szCs w:val="20"/>
        </w:rPr>
        <w:t xml:space="preserve">(d)  Encumbrance. Borrower encumbers the Property with any additional lien or security interest not permitted by the Loan Agreement.</w:t>
      </w:r>
    </w:p>
    <w:p>
      <w:pPr>
        <w:pStyle w:val="Heading2"/>
        <w:spacing w:after="80" w:before="240"/>
      </w:pPr>
      <w:r>
        <w:rPr>
          <w:rFonts w:ascii="Arial" w:cs="Arial" w:eastAsia="Arial" w:hAnsi="Arial"/>
          <w:b/>
          <w:bCs/>
          <w:sz w:val="24"/>
          <w:szCs w:val="24"/>
        </w:rPr>
        <w:t xml:space="preserve">ARTICLE 3 — NATURE OF GUARANTY; WAIVERS</w:t>
      </w:r>
    </w:p>
    <w:p>
      <w:pPr>
        <w:spacing w:after="80" w:before="80"/>
        <w:ind/>
      </w:pPr>
      <w:r>
        <w:rPr>
          <w:rFonts w:ascii="Arial" w:cs="Arial" w:eastAsia="Arial" w:hAnsi="Arial"/>
          <w:sz w:val="20"/>
          <w:szCs w:val="20"/>
        </w:rPr>
        <w:t xml:space="preserve">3.1  Absolute and Unconditional. This Guaranty is absolute and unconditional and shall not be affected, impaired, or discharged by: (i) any amendment to the Loan Documents; (ii) any extension of time for payment or performance; (iii) any release of any collateral or other guarantor; (iv) Lender's failure to perfect any security interest; (v) any change in Borrower's organization, management, or ownership; or (vi) any other circumstance which might otherwise constitute a defense available to a guarantor.</w:t>
      </w:r>
    </w:p>
    <w:p>
      <w:pPr>
        <w:spacing w:after="80" w:before="80"/>
        <w:ind/>
      </w:pPr>
      <w:r>
        <w:rPr>
          <w:rFonts w:ascii="Arial" w:cs="Arial" w:eastAsia="Arial" w:hAnsi="Arial"/>
          <w:sz w:val="20"/>
          <w:szCs w:val="20"/>
        </w:rPr>
        <w:t xml:space="preserve">3.2  Waivers. To the fullest extent permitted by law, Guarantor hereby waives: (i) notice of acceptance hereof and all notices of default, demand, or protest; (ii) any right to require Lender to proceed against Borrower or any collateral before proceeding against Guarantor; (iii) any right of subrogation against Borrower until all Guaranteed Obligations are paid in full; (iv) any right of contribution, indemnification, or reimbursement from Borrower; and (v) any right to assert as a defense any suretyship, statute of limitations, or other defense available to a guarantor or surety.</w:t>
      </w:r>
    </w:p>
    <w:p>
      <w:pPr>
        <w:spacing w:after="80" w:before="80"/>
        <w:ind/>
      </w:pPr>
      <w:r>
        <w:rPr>
          <w:rFonts w:ascii="Arial" w:cs="Arial" w:eastAsia="Arial" w:hAnsi="Arial"/>
          <w:sz w:val="20"/>
          <w:szCs w:val="20"/>
        </w:rPr>
        <w:t xml:space="preserve">3.3  Reinstatement. If at any time any payment made to Lender with respect to any Guaranteed Obligation is rescinded, recovered from, or repaid by Lender for any reason, the liability of Guarantor hereunder shall continue with respect to such amount as though such payment had not been made.</w:t>
      </w:r>
    </w:p>
    <w:p>
      <w:pPr>
        <w:spacing w:after="80" w:before="80"/>
        <w:ind/>
      </w:pPr>
      <w:r>
        <w:rPr>
          <w:rFonts w:ascii="Arial" w:cs="Arial" w:eastAsia="Arial" w:hAnsi="Arial"/>
          <w:sz w:val="20"/>
          <w:szCs w:val="20"/>
        </w:rPr>
        <w:t xml:space="preserve">3.4  Joint and Several Liability. The obligations of each Guarantor hereunder shall be joint and several with the other Guarantor. Lender may proceed against any one or more of the Guarantors in any order or simultaneously.</w:t>
      </w:r>
    </w:p>
    <w:p>
      <w:pPr>
        <w:pStyle w:val="Heading2"/>
        <w:spacing w:after="80" w:before="240"/>
      </w:pPr>
      <w:r>
        <w:rPr>
          <w:rFonts w:ascii="Arial" w:cs="Arial" w:eastAsia="Arial" w:hAnsi="Arial"/>
          <w:b/>
          <w:bCs/>
          <w:sz w:val="24"/>
          <w:szCs w:val="24"/>
        </w:rPr>
        <w:t xml:space="preserve">ARTICLE 4 — REPRESENTATIONS AND WARRANTIES</w:t>
      </w:r>
    </w:p>
    <w:p>
      <w:pPr>
        <w:spacing w:after="80" w:before="80"/>
        <w:ind/>
      </w:pPr>
      <w:r>
        <w:rPr>
          <w:rFonts w:ascii="Arial" w:cs="Arial" w:eastAsia="Arial" w:hAnsi="Arial"/>
          <w:sz w:val="20"/>
          <w:szCs w:val="20"/>
        </w:rPr>
        <w:t xml:space="preserve">4.1  Guarantor represents and warrants to Lender as of the date hereof that: (i) Guarantor has full legal capacity and authority to enter into and perform this Guaranty; (ii) this Guaranty has been duly authorized (in the case of Meridian Capital Group LLC), and constitutes a valid and binding obligation of Guarantor; (iii) the execution and delivery of this Guaranty do not violate any agreement, instrument, or law applicable to Guarantor; (iv) Guarantor has received and reviewed the Loan Documents; and (v) Guarantor has received fair consideration for providing this Guaranty.</w:t>
      </w:r>
    </w:p>
    <w:p>
      <w:pPr>
        <w:spacing w:after="80" w:before="80"/>
        <w:ind/>
      </w:pPr>
      <w:r>
        <w:rPr>
          <w:rFonts w:ascii="Arial" w:cs="Arial" w:eastAsia="Arial" w:hAnsi="Arial"/>
          <w:sz w:val="20"/>
          <w:szCs w:val="20"/>
        </w:rPr>
        <w:t xml:space="preserve">4.2  Financial Condition. Guarantor acknowledges that Lender has not made any representation or warranty with respect to the financial condition of Borrower or the value of any collateral, and that Guarantor has independently determined to execute this Guaranty.</w:t>
      </w:r>
    </w:p>
    <w:p>
      <w:pPr>
        <w:pStyle w:val="Heading2"/>
        <w:spacing w:after="80" w:before="240"/>
      </w:pPr>
      <w:r>
        <w:rPr>
          <w:rFonts w:ascii="Arial" w:cs="Arial" w:eastAsia="Arial" w:hAnsi="Arial"/>
          <w:b/>
          <w:bCs/>
          <w:sz w:val="24"/>
          <w:szCs w:val="24"/>
        </w:rPr>
        <w:t xml:space="preserve">ARTICLE 5 — INDEMNIFICATION; EXPENSES</w:t>
      </w:r>
    </w:p>
    <w:p>
      <w:pPr>
        <w:spacing w:after="80" w:before="80"/>
        <w:ind/>
      </w:pPr>
      <w:r>
        <w:rPr>
          <w:rFonts w:ascii="Arial" w:cs="Arial" w:eastAsia="Arial" w:hAnsi="Arial"/>
          <w:sz w:val="20"/>
          <w:szCs w:val="20"/>
        </w:rPr>
        <w:t xml:space="preserve">5.1  Guarantor shall indemnify and hold Lender harmless from and against any and all claims, damages, losses, costs, and expenses (including reasonable attorneys' fees and court costs) incurred by Lender in connection with: (i) any Carveout Obligation; (ii) the enforcement of this Guaranty; or (iii) any breach by Guarantor of any representation, warranty, or covenant in this Guaranty.</w:t>
      </w:r>
    </w:p>
    <w:p>
      <w:pPr>
        <w:pStyle w:val="Heading2"/>
        <w:spacing w:after="80" w:before="240"/>
      </w:pPr>
      <w:r>
        <w:rPr>
          <w:rFonts w:ascii="Arial" w:cs="Arial" w:eastAsia="Arial" w:hAnsi="Arial"/>
          <w:b/>
          <w:bCs/>
          <w:sz w:val="24"/>
          <w:szCs w:val="24"/>
        </w:rPr>
        <w:t xml:space="preserve">ARTICLE 6 — GENERAL PROVISIONS</w:t>
      </w:r>
    </w:p>
    <w:p>
      <w:pPr>
        <w:spacing w:after="80" w:before="80"/>
        <w:ind/>
      </w:pPr>
      <w:r>
        <w:rPr>
          <w:rFonts w:ascii="Arial" w:cs="Arial" w:eastAsia="Arial" w:hAnsi="Arial"/>
          <w:sz w:val="20"/>
          <w:szCs w:val="20"/>
        </w:rPr>
        <w:t xml:space="preserve">6.1  Governing Law. This Guaranty shall be governed by the laws of the State of Colorado.</w:t>
      </w:r>
    </w:p>
    <w:p>
      <w:pPr>
        <w:spacing w:after="80" w:before="80"/>
        <w:ind/>
      </w:pPr>
      <w:r>
        <w:rPr>
          <w:rFonts w:ascii="Arial" w:cs="Arial" w:eastAsia="Arial" w:hAnsi="Arial"/>
          <w:sz w:val="20"/>
          <w:szCs w:val="20"/>
        </w:rPr>
        <w:t xml:space="preserve">6.2  Successors. This Guaranty shall be binding upon the heirs, personal representatives, executors, successors, and assigns of each Guarantor.</w:t>
      </w:r>
    </w:p>
    <w:p>
      <w:pPr>
        <w:spacing w:after="80" w:before="80"/>
        <w:ind/>
      </w:pPr>
      <w:r>
        <w:rPr>
          <w:rFonts w:ascii="Arial" w:cs="Arial" w:eastAsia="Arial" w:hAnsi="Arial"/>
          <w:sz w:val="20"/>
          <w:szCs w:val="20"/>
        </w:rPr>
        <w:t xml:space="preserve">6.3  No Waiver. No failure or delay by Lender in exercising any right hereunder shall operate as a waiver thereof, and no single or partial exercise of any right shall preclude any other future exercise thereof.</w:t>
      </w:r>
    </w:p>
    <w:p>
      <w:pPr>
        <w:spacing w:after="80" w:before="80"/>
        <w:ind/>
      </w:pPr>
      <w:r>
        <w:rPr>
          <w:rFonts w:ascii="Arial" w:cs="Arial" w:eastAsia="Arial" w:hAnsi="Arial"/>
          <w:sz w:val="20"/>
          <w:szCs w:val="20"/>
        </w:rPr>
        <w:t xml:space="preserve">6.4  Severability. If any provision of this Guaranty is found invalid or unenforceable, the remaining provisions shall continue in full force and effect.</w:t>
      </w:r>
    </w:p>
    <w:p>
      <w:pPr>
        <w:spacing w:after="80" w:before="80"/>
        <w:ind/>
      </w:pPr>
      <w:r>
        <w:rPr>
          <w:rFonts w:ascii="Arial" w:cs="Arial" w:eastAsia="Arial" w:hAnsi="Arial"/>
          <w:sz w:val="20"/>
          <w:szCs w:val="20"/>
        </w:rPr>
        <w:t xml:space="preserve">6.5  Entire Agreement. This Guaranty constitutes the entire agreement of the parties with respect to the subject matter hereof and supersedes all prior negotiations and understandings.</w:t>
      </w:r>
    </w:p>
    <w:p>
      <w:pPr>
        <w:spacing w:after="60" w:before="0"/>
      </w:pPr>
      <w:r>
        <w:t xml:space="preserve"/>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IN WITNESS WHEREOF, Guarantor has executed this Guaranty as of the date first written above.</w:t>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GUARANTOR (ENTITY):</w:t>
      </w:r>
    </w:p>
    <w:p>
      <w:pPr>
        <w:spacing w:after="80" w:before="80"/>
        <w:ind/>
      </w:pPr>
      <w:r>
        <w:rPr>
          <w:rFonts w:ascii="Arial" w:cs="Arial" w:eastAsia="Arial" w:hAnsi="Arial"/>
          <w:sz w:val="20"/>
          <w:szCs w:val="20"/>
        </w:rPr>
        <w:t xml:space="preserve">MERIDIAN CAPITAL GROUP LLC,</w:t>
      </w:r>
    </w:p>
    <w:p>
      <w:pPr>
        <w:spacing w:after="80" w:before="80"/>
        <w:ind/>
      </w:pPr>
      <w:r>
        <w:rPr>
          <w:rFonts w:ascii="Arial" w:cs="Arial" w:eastAsia="Arial" w:hAnsi="Arial"/>
          <w:sz w:val="20"/>
          <w:szCs w:val="20"/>
        </w:rPr>
        <w:t xml:space="preserve">a Delaware limited liability company</w:t>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By: ___________________________</w:t>
      </w:r>
    </w:p>
    <w:p>
      <w:pPr>
        <w:spacing w:after="80" w:before="80"/>
        <w:ind/>
      </w:pPr>
      <w:r>
        <w:rPr>
          <w:rFonts w:ascii="Arial" w:cs="Arial" w:eastAsia="Arial" w:hAnsi="Arial"/>
          <w:sz w:val="20"/>
          <w:szCs w:val="20"/>
        </w:rPr>
        <w:t xml:space="preserve">Name: James T. Harrington</w:t>
      </w:r>
    </w:p>
    <w:p>
      <w:pPr>
        <w:spacing w:after="80" w:before="80"/>
        <w:ind/>
      </w:pPr>
      <w:r>
        <w:rPr>
          <w:rFonts w:ascii="Arial" w:cs="Arial" w:eastAsia="Arial" w:hAnsi="Arial"/>
          <w:sz w:val="20"/>
          <w:szCs w:val="20"/>
        </w:rPr>
        <w:t xml:space="preserve">Title: Manager</w:t>
      </w:r>
    </w:p>
    <w:p>
      <w:pPr>
        <w:spacing w:after="80" w:before="80"/>
        <w:ind/>
      </w:pPr>
      <w:r>
        <w:rPr>
          <w:rFonts w:ascii="Arial" w:cs="Arial" w:eastAsia="Arial" w:hAnsi="Arial"/>
          <w:sz w:val="20"/>
          <w:szCs w:val="20"/>
        </w:rPr>
        <w:t xml:space="preserve">Date: March 15, 2024</w:t>
      </w:r>
    </w:p>
    <w:p>
      <w:pPr>
        <w:spacing w:after="60" w:before="0"/>
      </w:pPr>
      <w:r>
        <w:t xml:space="preserve"/>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GUARANTOR (INDIVIDUAL):</w:t>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___________________________</w:t>
      </w:r>
    </w:p>
    <w:p>
      <w:pPr>
        <w:spacing w:after="80" w:before="80"/>
        <w:ind/>
      </w:pPr>
      <w:r>
        <w:rPr>
          <w:rFonts w:ascii="Arial" w:cs="Arial" w:eastAsia="Arial" w:hAnsi="Arial"/>
          <w:sz w:val="20"/>
          <w:szCs w:val="20"/>
        </w:rPr>
        <w:t xml:space="preserve">James T. Harrington, individually</w:t>
      </w:r>
    </w:p>
    <w:p>
      <w:pPr>
        <w:spacing w:after="80" w:before="80"/>
        <w:ind/>
      </w:pPr>
      <w:r>
        <w:rPr>
          <w:rFonts w:ascii="Arial" w:cs="Arial" w:eastAsia="Arial" w:hAnsi="Arial"/>
          <w:sz w:val="20"/>
          <w:szCs w:val="20"/>
        </w:rPr>
        <w:t xml:space="preserve">Date: March 15,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2026-03-05T20:36:02.977Z</dcterms:created>
  <dcterms:modified xsi:type="dcterms:W3CDTF">2026-03-05T20:36:02.977Z</dcterms:modified>
</cp:coreProperties>
</file>

<file path=docProps/custom.xml><?xml version="1.0" encoding="utf-8"?>
<Properties xmlns="http://schemas.openxmlformats.org/officeDocument/2006/custom-properties" xmlns:vt="http://schemas.openxmlformats.org/officeDocument/2006/docPropsVTypes"/>
</file>