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8"/>
          <w:szCs w:val="48"/>
        </w:rPr>
        <w:t xml:space="preserve">ASSET MANAGEMENT PLAN</w:t>
      </w:r>
    </w:p>
    <w:p>
      <w:pPr>
        <w:spacing w:after="60" w:before="0"/>
        <w:jc w:val="center"/>
      </w:pPr>
      <w:r>
        <w:rPr>
          <w:rFonts w:ascii="Arial" w:cs="Arial" w:eastAsia="Arial" w:hAnsi="Arial"/>
          <w:b/>
          <w:bCs/>
          <w:color w:val="2E5090"/>
          <w:sz w:val="26"/>
          <w:szCs w:val="26"/>
        </w:rPr>
        <w:t xml:space="preserve">VALUE-ADD BUSINESS PLAN: 2024–2026</w:t>
      </w:r>
    </w:p>
    <w:p>
      <w:pPr>
        <w:spacing w:after="480" w:before="0"/>
        <w:jc w:val="center"/>
      </w:pPr>
      <w:r>
        <w:rPr>
          <w:rFonts w:ascii="Arial" w:cs="Arial" w:eastAsia="Arial" w:hAnsi="Arial"/>
          <w:color w:val="555555"/>
          <w:sz w:val="22"/>
          <w:szCs w:val="22"/>
        </w:rPr>
        <w:t xml:space="preserve">Cascade Ridge Apartments | Prepared: April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4200 Cascade Ridge Drive, Aurora, CO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 — Mix: 96 1BR/1BA | 108 2BR/2BA | 36 3BR/2BA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Vintage: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2006–2007 construction; original fixtures/finishes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 / Meridian Value-Add Fund IV, LP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Asset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Group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 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Property Management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 — $28,350,000 bridge (SOFR+285bps)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Acquisition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Hold Period Target: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years (targeted exit: Q2 2027–Q1 2028)</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Investment Thesis: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Acquire undermanaged 2007-vintage asset in supply-constrained Aurora submarket; execute $4.2M interior/exterior renovation program; drive occupancy from 86.7% to 93%+; grow NOI from $2.06M to $2.74M stabilized; exit at 5.50% cap rate implied $49.8M valuation</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SECTION 1: MARKET &amp; SUBMARKET OVERVIEW</w:t>
      </w:r>
    </w:p>
    <w:p>
      <w:pPr>
        <w:spacing w:after="60" w:before="200"/>
      </w:pPr>
      <w:r>
        <w:rPr>
          <w:rFonts w:ascii="Arial" w:cs="Arial" w:eastAsia="Arial" w:hAnsi="Arial"/>
          <w:b/>
          <w:bCs/>
          <w:sz w:val="22"/>
          <w:szCs w:val="22"/>
        </w:rPr>
        <w:t xml:space="preserve">Aurora, Colorado — Southeast Metro Denver Submarket</w:t>
      </w:r>
    </w:p>
    <w:p>
      <w:pPr>
        <w:spacing w:after="80" w:before="80"/>
        <w:ind/>
      </w:pPr>
      <w:r>
        <w:rPr>
          <w:rFonts w:ascii="Arial" w:cs="Arial" w:eastAsia="Arial" w:hAnsi="Arial"/>
          <w:sz w:val="20"/>
          <w:szCs w:val="20"/>
        </w:rPr>
        <w:t xml:space="preserve">Aurora is Colorado's third-largest city with a population of 386,000 and a household growth rate of 2.1% annually. The Cascade Ridge submarket (SE Aurora / Arapahoe County) has demonstrated consistent demand driven by proximity to the Anschutz Medical Campus (21,000 employees), DIA flight path employment corridor, and the E-470 toll road commercial district.</w:t>
      </w:r>
    </w:p>
    <w:p>
      <w:pPr>
        <w:spacing w:after="80" w:before="80"/>
        <w:ind/>
      </w:pPr>
      <w:r>
        <w:rPr>
          <w:rFonts w:ascii="Arial" w:cs="Arial" w:eastAsia="Arial" w:hAnsi="Arial"/>
          <w:sz w:val="20"/>
          <w:szCs w:val="20"/>
        </w:rPr>
        <w:t xml:space="preserve">Market fundamentals as of Q1 2024: Average market rent for comparable 2BR/2BA units in the submarket is $1,525/month (source: CoStar, Q1 2024), representing a 4.2% year-over-year increase. Class B multifamily vacancy in the submarket is 5.8%, vs. 7.1% metro-wide. No material new competitive supply is under construction within a 2-mile radius of the Property.</w:t>
      </w:r>
    </w:p>
    <w:p>
      <w:pPr>
        <w:spacing w:after="80" w:before="80"/>
        <w:ind/>
      </w:pPr>
      <w:r>
        <w:rPr>
          <w:rFonts w:ascii="Arial" w:cs="Arial" w:eastAsia="Arial" w:hAnsi="Arial"/>
          <w:sz w:val="20"/>
          <w:szCs w:val="20"/>
        </w:rPr>
        <w:t xml:space="preserve">The Property's current average in-place rent of $1,318/month across all unit types represents a $147–$227/unit discount to market on renovated comparable units (analysis excludes the 32 units recently renovated in 2021–2022 by prior ownership, which are already at market). This gap represents the primary value-creation opportunity.</w:t>
      </w:r>
    </w:p>
    <w:p>
      <w:pPr>
        <w:pStyle w:val="Heading1"/>
        <w:spacing w:after="120" w:before="360"/>
      </w:pPr>
      <w:r>
        <w:rPr>
          <w:rFonts w:ascii="Arial" w:cs="Arial" w:eastAsia="Arial" w:hAnsi="Arial"/>
          <w:b/>
          <w:bCs/>
          <w:sz w:val="28"/>
          <w:szCs w:val="28"/>
        </w:rPr>
        <w:t xml:space="preserve">SECTION 2: ASSET CONDITION AND RENOVATION PLAN</w:t>
      </w:r>
    </w:p>
    <w:p>
      <w:pPr>
        <w:spacing w:after="60" w:before="200"/>
      </w:pPr>
      <w:r>
        <w:rPr>
          <w:rFonts w:ascii="Arial" w:cs="Arial" w:eastAsia="Arial" w:hAnsi="Arial"/>
          <w:b/>
          <w:bCs/>
          <w:sz w:val="22"/>
          <w:szCs w:val="22"/>
        </w:rPr>
        <w:t xml:space="preserve">2.1 Property Condition Summary</w:t>
      </w:r>
    </w:p>
    <w:p>
      <w:pPr>
        <w:spacing w:after="80" w:before="80"/>
        <w:ind/>
      </w:pPr>
      <w:r>
        <w:rPr>
          <w:rFonts w:ascii="Arial" w:cs="Arial" w:eastAsia="Arial" w:hAnsi="Arial"/>
          <w:sz w:val="20"/>
          <w:szCs w:val="20"/>
        </w:rPr>
        <w:t xml:space="preserve">The Property was built in 2006–2007 and is in generally good structural condition per the Property Condition Assessment (BuildRight Engineering Group, January 2024). The report identified no critical deferred maintenance items. Non-critical items totaling approximately $1.2M over 5 years have been incorporated into the capital plan.</w:t>
      </w:r>
    </w:p>
    <w:p>
      <w:pPr>
        <w:spacing w:after="80" w:before="80"/>
        <w:ind/>
      </w:pPr>
      <w:r>
        <w:rPr>
          <w:rFonts w:ascii="Arial" w:cs="Arial" w:eastAsia="Arial" w:hAnsi="Arial"/>
          <w:sz w:val="20"/>
          <w:szCs w:val="20"/>
        </w:rPr>
        <w:t xml:space="preserve">Unit interiors are original construction with laminate countertops, vinyl plank flooring in common areas, contractor-grade carpet in bedrooms, builder-grade lighting and fixtures, and original appliance packages. The renovation program targets a meaningful cosmetic upgrade to compete with newer product in the market.</w:t>
      </w:r>
    </w:p>
    <w:p>
      <w:pPr>
        <w:spacing w:after="80" w:before="80"/>
        <w:ind/>
      </w:pPr>
      <w:r>
        <w:rPr>
          <w:rFonts w:ascii="Arial" w:cs="Arial" w:eastAsia="Arial" w:hAnsi="Arial"/>
          <w:sz w:val="20"/>
          <w:szCs w:val="20"/>
        </w:rPr>
        <w:t xml:space="preserve">Common areas, amenities, and exteriors are in serviceable condition. Targeted upgrades to the clubhouse, fitness center, and pool deck are planned for Phase 2 to improve the overall residential experience and support rental rate growth.</w:t>
      </w:r>
    </w:p>
    <w:p>
      <w:pPr>
        <w:spacing w:after="60" w:before="200"/>
      </w:pPr>
      <w:r>
        <w:rPr>
          <w:rFonts w:ascii="Arial" w:cs="Arial" w:eastAsia="Arial" w:hAnsi="Arial"/>
          <w:b/>
          <w:bCs/>
          <w:sz w:val="22"/>
          <w:szCs w:val="22"/>
        </w:rPr>
        <w:t xml:space="preserve">2.2 Capital Plan Summary ($4,200,000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Item</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Phase 1</w:t>
            </w:r>
          </w:p>
          <w:p>
            <w:r>
              <w:rPr>
                <w:rFonts w:ascii="Arial" w:cs="Arial" w:eastAsia="Arial" w:hAnsi="Arial"/>
                <w:b/>
                <w:bCs/>
                <w:sz w:val="17"/>
                <w:szCs w:val="17"/>
              </w:rPr>
              <w:br/>
              <w:t xml:space="preserve">(2024)</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Phase 2</w:t>
            </w:r>
          </w:p>
          <w:p>
            <w:r>
              <w:rPr>
                <w:rFonts w:ascii="Arial" w:cs="Arial" w:eastAsia="Arial" w:hAnsi="Arial"/>
                <w:b/>
                <w:bCs/>
                <w:sz w:val="17"/>
                <w:szCs w:val="17"/>
              </w:rPr>
              <w:br/>
              <w:t xml:space="preserve">(2025)</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Phase 3</w:t>
            </w:r>
          </w:p>
          <w:p>
            <w:r>
              <w:rPr>
                <w:rFonts w:ascii="Arial" w:cs="Arial" w:eastAsia="Arial" w:hAnsi="Arial"/>
                <w:b/>
                <w:bCs/>
                <w:sz w:val="17"/>
                <w:szCs w:val="17"/>
              </w:rPr>
              <w:br/>
              <w:t xml:space="preserve">(2026)</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Unit Interior Renovations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$1,440,000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$960,000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$480,000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120 units total (48+32+40); $25,000/unit avg; quartz counters, LVP flooring, SS appliances, fixtures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Clubhouse / Leasing Office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$185,000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New finishes, co-working lounge, package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Fitness Center Upgrade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$95,000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New equipment package, flooring, mirrors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Pool Deck / Outdoor Amenities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$120,000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Pool resurfacing, new furniture, landscaping, grills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Exterior / Curb Appeal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$175,000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$125,000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Monument signage, entry redesign, painting, parking lot seal/stripe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Mechanical / Preventive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$80,000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$80,000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$80,000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HVAC tune-ups, plumbing, roof repairs, electrical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Contingency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$84,750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$27,750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$17,500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5% contingency on hard costs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7"/>
                <w:szCs w:val="17"/>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$1,779,750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$1,592,750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$577,500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7"/>
                <w:szCs w:val="17"/>
              </w:rPr>
              <w:t xml:space="preserve">Total: $3,950,000 hard; $250,000 soft = $4,200,000</w:t>
            </w:r>
          </w:p>
        </w:tc>
      </w:tr>
    </w:tbl>
    <w:p>
      <w:pPr>
        <w:spacing w:after="60" w:before="0"/>
      </w:pPr>
      <w:r>
        <w:t xml:space="preserve"/>
      </w:r>
    </w:p>
    <w:p>
      <w:pPr>
        <w:spacing w:after="60" w:before="200"/>
      </w:pPr>
      <w:r>
        <w:rPr>
          <w:rFonts w:ascii="Arial" w:cs="Arial" w:eastAsia="Arial" w:hAnsi="Arial"/>
          <w:b/>
          <w:bCs/>
          <w:sz w:val="22"/>
          <w:szCs w:val="22"/>
        </w:rPr>
        <w:t xml:space="preserve">2.3 Renovation Execution Strategy</w:t>
      </w:r>
    </w:p>
    <w:p>
      <w:pPr>
        <w:spacing w:after="80" w:before="80"/>
        <w:ind/>
      </w:pPr>
      <w:r>
        <w:rPr>
          <w:rFonts w:ascii="Arial" w:cs="Arial" w:eastAsia="Arial" w:hAnsi="Arial"/>
          <w:sz w:val="20"/>
          <w:szCs w:val="20"/>
        </w:rPr>
        <w:t xml:space="preserve">Phase 1 (April–December 2024): Focus on unit turn program targeting 48 natural vacancies as leases expire. Unit selection prioritizes the highest-discount units (2BR/2BA at $1,195–$1,245 vs. $1,545 market) and units with the worst cosmetic condition. Target renovation timeline: 14–21 days per unit. Achieved post-renovation rents: $1,520–$1,575 for 2BR/2BA.</w:t>
      </w:r>
    </w:p>
    <w:p>
      <w:pPr>
        <w:spacing w:after="80" w:before="80"/>
        <w:ind/>
      </w:pPr>
      <w:r>
        <w:rPr>
          <w:rFonts w:ascii="Arial" w:cs="Arial" w:eastAsia="Arial" w:hAnsi="Arial"/>
          <w:sz w:val="20"/>
          <w:szCs w:val="20"/>
        </w:rPr>
        <w:t xml:space="preserve">Phase 2 (January–September 2025): Continue unit turns (32 additional units). Complete all common area upgrades to support a rental rate push across the entire property, including unrenovated units, leveraging the improved amenity package to justify a $50–$75 market-wide rent increase.</w:t>
      </w:r>
    </w:p>
    <w:p>
      <w:pPr>
        <w:spacing w:after="80" w:before="80"/>
        <w:ind/>
      </w:pPr>
      <w:r>
        <w:rPr>
          <w:rFonts w:ascii="Arial" w:cs="Arial" w:eastAsia="Arial" w:hAnsi="Arial"/>
          <w:sz w:val="20"/>
          <w:szCs w:val="20"/>
        </w:rPr>
        <w:t xml:space="preserve">Phase 3 (Q1–Q2 2026): Remaining unit turns (40 units) as leases naturally expire. Focus on final NOI stabilization and preparation for exit marketing.</w:t>
      </w:r>
    </w:p>
    <w:p>
      <w:pPr>
        <w:pStyle w:val="Heading1"/>
        <w:spacing w:after="120" w:before="360"/>
      </w:pPr>
      <w:r>
        <w:rPr>
          <w:rFonts w:ascii="Arial" w:cs="Arial" w:eastAsia="Arial" w:hAnsi="Arial"/>
          <w:b/>
          <w:bCs/>
          <w:sz w:val="28"/>
          <w:szCs w:val="28"/>
        </w:rPr>
        <w:t xml:space="preserve">SECTION 3: FINANCIAL PROJECTIONS</w:t>
      </w:r>
    </w:p>
    <w:p>
      <w:pPr>
        <w:spacing w:after="60" w:before="200"/>
      </w:pPr>
      <w:r>
        <w:rPr>
          <w:rFonts w:ascii="Arial" w:cs="Arial" w:eastAsia="Arial" w:hAnsi="Arial"/>
          <w:b/>
          <w:bCs/>
          <w:sz w:val="22"/>
          <w:szCs w:val="22"/>
        </w:rPr>
        <w:t xml:space="preserve">3.1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80"/>
        <w:gridCol w:w="1680"/>
        <w:gridCol w:w="1680"/>
        <w:gridCol w:w="1560"/>
      </w:tblGrid>
      <w:tr>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2024E</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2025E</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2026E</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Stabilized</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In-Place Rent (all units)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$1,360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$1,435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$1,520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Occupancy Rate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92.8%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93.5%</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Effective Gross Revenue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$3,541,680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$3,826,224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$4,014,360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$4,100,400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Other Income (fees, etc.)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$121,500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$131,000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$138,000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$140,000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Revenue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$3,663,180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$3,957,224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$4,152,360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$4,240,400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Operating Expenses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$1,578,000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$1,645,000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$1,690,000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$1,500,000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Operating Income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$2,085,180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$2,312,224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$2,462,360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$2,740,400</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DSCR (SOFR+285bps @ 5.63%)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1.33x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1.42x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1.58x</w:t>
            </w:r>
          </w:p>
        </w:tc>
      </w:tr>
    </w:tbl>
    <w:p>
      <w:pPr>
        <w:spacing w:after="60" w:before="0"/>
      </w:pPr>
      <w:r>
        <w:t xml:space="preserve"/>
      </w:r>
    </w:p>
    <w:p>
      <w:pPr>
        <w:spacing w:after="60" w:before="200"/>
      </w:pPr>
      <w:r>
        <w:rPr>
          <w:rFonts w:ascii="Arial" w:cs="Arial" w:eastAsia="Arial" w:hAnsi="Arial"/>
          <w:b/>
          <w:bCs/>
          <w:sz w:val="22"/>
          <w:szCs w:val="22"/>
        </w:rPr>
        <w:t xml:space="preserve">3.2 Exit Analysis</w:t>
      </w:r>
    </w:p>
    <w:p>
      <w:pPr>
        <w:spacing w:after="80" w:before="80"/>
        <w:ind/>
      </w:pPr>
      <w:r>
        <w:rPr>
          <w:rFonts w:ascii="Arial" w:cs="Arial" w:eastAsia="Arial" w:hAnsi="Arial"/>
          <w:sz w:val="20"/>
          <w:szCs w:val="20"/>
        </w:rPr>
        <w:t xml:space="preserve">Target exit: Q2 2027 (3-year hold). Basis: Stabilized NOI of $2,740,000 at 5.50% exit cap rate implies a gross value of $49,818,000. After repayment of $28,350,000 loan and approximately $650,000 in closing costs, estimated net proceeds to Fund: $20,818,000. Fund-level IRR target: 18–22% net.</w:t>
      </w:r>
    </w:p>
    <w:p>
      <w:pPr>
        <w:pStyle w:val="Heading1"/>
        <w:spacing w:after="120" w:before="360"/>
      </w:pPr>
      <w:r>
        <w:rPr>
          <w:rFonts w:ascii="Arial" w:cs="Arial" w:eastAsia="Arial" w:hAnsi="Arial"/>
          <w:b/>
          <w:bCs/>
          <w:sz w:val="28"/>
          <w:szCs w:val="28"/>
        </w:rPr>
        <w:t xml:space="preserve">SECTION 4: KEY PERFORMANCE INDICATORS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288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KPI</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Current (Q1 2024)</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Timeline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Occupancy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 2024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In-Place 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$1,318/mo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$1,360/mo+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 2024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DSCR (T12)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1.19x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1.20x (cash sweep release)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Q2/Q3 2024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Units Renovated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 (prior owner)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 (48 new in 2024)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 31, 2024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NOI (T12)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$2,063,498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$2,085,000+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 2024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Cash Sweep Release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(DSCR &lt; 1.20x)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Released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Q3 2024 (target)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Stabilized NOI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$2,740,000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 2026</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Exit Valuation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$49.8M at 5.50% cap</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Q2 2027</w:t>
            </w:r>
          </w:p>
        </w:tc>
      </w:tr>
    </w:tbl>
    <w:p>
      <w:pPr>
        <w:spacing w:after="60" w:before="0"/>
      </w:pPr>
      <w:r>
        <w:t xml:space="preserve"/>
      </w:r>
    </w:p>
    <w:p>
      <w:pPr>
        <w:pStyle w:val="Heading1"/>
        <w:spacing w:after="120" w:before="360"/>
      </w:pPr>
      <w:r>
        <w:rPr>
          <w:rFonts w:ascii="Arial" w:cs="Arial" w:eastAsia="Arial" w:hAnsi="Arial"/>
          <w:b/>
          <w:bCs/>
          <w:sz w:val="28"/>
          <w:szCs w:val="28"/>
        </w:rPr>
        <w:t xml:space="preserve">SECTION 5: RISK FACTORS AND MITIGATION</w:t>
      </w:r>
    </w:p>
    <w:p>
      <w:pPr>
        <w:spacing w:after="80" w:before="80"/>
        <w:ind/>
      </w:pPr>
      <w:r>
        <w:rPr>
          <w:rFonts w:ascii="Arial" w:cs="Arial" w:eastAsia="Arial" w:hAnsi="Arial"/>
          <w:sz w:val="20"/>
          <w:szCs w:val="20"/>
        </w:rPr>
        <w:t xml:space="preserve">5.1  Cash Sweep Risk. The Property is currently subject to an active cash sweep due to DSCR of 1.19x (below 1.20x threshold). Mitigation: (a) Focus immediate leasing efforts on the 32 vacant units; (b) Execute early unit turns to convert to market rents; (c) Monitor NOI monthly against DSCR projections; (d) Fund anticipates cash sweep release by Q3 2024 upon achieving 90%+ occupancy.</w:t>
      </w:r>
    </w:p>
    <w:p>
      <w:pPr>
        <w:spacing w:after="80" w:before="80"/>
        <w:ind/>
      </w:pPr>
      <w:r>
        <w:rPr>
          <w:rFonts w:ascii="Arial" w:cs="Arial" w:eastAsia="Arial" w:hAnsi="Arial"/>
          <w:sz w:val="20"/>
          <w:szCs w:val="20"/>
        </w:rPr>
        <w:t xml:space="preserve">5.2  Renovation Execution Risk. Inability to execute the capital plan on time and on budget could delay NOI growth and impact exit timing. Mitigation: General contractor (Alpine Construction Partners LLC) under contract with fixed-price bids on Phase 1 scope; 5% contingency reserve included in capital plan; weekly job site meetings.</w:t>
      </w:r>
    </w:p>
    <w:p>
      <w:pPr>
        <w:spacing w:after="80" w:before="80"/>
        <w:ind/>
      </w:pPr>
      <w:r>
        <w:rPr>
          <w:rFonts w:ascii="Arial" w:cs="Arial" w:eastAsia="Arial" w:hAnsi="Arial"/>
          <w:sz w:val="20"/>
          <w:szCs w:val="20"/>
        </w:rPr>
        <w:t xml:space="preserve">5.3  Market / Interest Rate Risk. Rising interest rates could increase borrowing costs and compress exit cap rates. Mitigation: Bridge loan has a SOFR floor of 0.50%; if rates rise materially, asset appreciating NOI should offset higher cap rates; 3-year hold gives flexibility to wait for market conditions.</w:t>
      </w:r>
    </w:p>
    <w:p>
      <w:pPr>
        <w:spacing w:after="80" w:before="80"/>
        <w:ind/>
      </w:pPr>
      <w:r>
        <w:rPr>
          <w:rFonts w:ascii="Arial" w:cs="Arial" w:eastAsia="Arial" w:hAnsi="Arial"/>
          <w:sz w:val="20"/>
          <w:szCs w:val="20"/>
        </w:rPr>
        <w:t xml:space="preserve">5.4  Lease-Up Risk. If market demand softens, achieving 93%+ occupancy may take longer. Mitigation: Property has demonstrated above-market demand at current rents; submarket vacancy of 5.8% is favorable; aggressive concession policy (up to 1 month free on 12-month leases) approved as leasing tool.</w:t>
      </w:r>
    </w:p>
    <w:p>
      <w:pPr>
        <w:spacing w:after="80" w:before="80"/>
        <w:ind/>
      </w:pPr>
      <w:r>
        <w:rPr>
          <w:rFonts w:ascii="Arial" w:cs="Arial" w:eastAsia="Arial" w:hAnsi="Arial"/>
          <w:b w:val="false"/>
          <w:bCs w:val="false"/>
          <w:sz w:val="20"/>
          <w:szCs w:val="20"/>
        </w:rPr>
        <w:t xml:space="preserve">Document prepared by: Meridian Capital Group LLC — Asset Management Division</w:t>
      </w:r>
    </w:p>
    <w:p>
      <w:pPr>
        <w:spacing w:after="80" w:before="80"/>
        <w:ind/>
      </w:pPr>
      <w:r>
        <w:rPr>
          <w:rFonts w:ascii="Arial" w:cs="Arial" w:eastAsia="Arial" w:hAnsi="Arial"/>
          <w:sz w:val="20"/>
          <w:szCs w:val="20"/>
        </w:rPr>
        <w:t xml:space="preserve">Date: April 2024 | Version 1.0 | For internal use and lender reporting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2026-03-05T20:45:03.460Z</dcterms:created>
  <dcterms:modified xsi:type="dcterms:W3CDTF">2026-03-05T20:45:03.461Z</dcterms:modified>
</cp:coreProperties>
</file>

<file path=docProps/custom.xml><?xml version="1.0" encoding="utf-8"?>
<Properties xmlns="http://schemas.openxmlformats.org/officeDocument/2006/custom-properties" xmlns:vt="http://schemas.openxmlformats.org/officeDocument/2006/docPropsVTypes"/>
</file>