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4"/>
          <w:szCs w:val="44"/>
        </w:rPr>
        <w:t xml:space="preserve">MARKET STUDY SUMMARY</w:t>
      </w:r>
    </w:p>
    <w:p>
      <w:pPr>
        <w:spacing w:after="60" w:before="0"/>
        <w:jc w:val="center"/>
      </w:pPr>
      <w:r>
        <w:rPr>
          <w:rFonts w:ascii="Arial" w:cs="Arial" w:eastAsia="Arial" w:hAnsi="Arial"/>
          <w:b/>
          <w:bCs/>
          <w:color w:val="2E5090"/>
          <w:sz w:val="26"/>
          <w:szCs w:val="26"/>
        </w:rPr>
        <w:t xml:space="preserve">SE Aurora Multifamily Submarket Analysis</w:t>
      </w:r>
    </w:p>
    <w:p>
      <w:pPr>
        <w:spacing w:after="480" w:before="0"/>
        <w:jc w:val="center"/>
      </w:pPr>
      <w:r>
        <w:rPr>
          <w:rFonts w:ascii="Arial" w:cs="Arial" w:eastAsia="Arial" w:hAnsi="Arial"/>
          <w:color w:val="555555"/>
          <w:sz w:val="20"/>
          <w:szCs w:val="20"/>
        </w:rPr>
        <w:t xml:space="preserve">Prepared by: CoStar Group / Meridian Capital Research | Q3 2024 Update</w:t>
      </w:r>
    </w:p>
    <w:p>
      <w:pPr>
        <w:pStyle w:val="Heading1"/>
        <w:spacing w:after="120" w:before="360"/>
      </w:pPr>
      <w:r>
        <w:rPr>
          <w:rFonts w:ascii="Arial" w:cs="Arial" w:eastAsia="Arial" w:hAnsi="Arial"/>
          <w:b/>
          <w:bCs/>
          <w:sz w:val="28"/>
          <w:szCs w:val="28"/>
        </w:rPr>
        <w:t xml:space="preserve">1. SUBMARKET OVERVIEW</w:t>
      </w:r>
    </w:p>
    <w:p>
      <w:pPr>
        <w:spacing w:after="80" w:before="80"/>
        <w:ind/>
      </w:pPr>
      <w:r>
        <w:rPr>
          <w:rFonts w:ascii="Arial" w:cs="Arial" w:eastAsia="Arial" w:hAnsi="Arial"/>
          <w:sz w:val="20"/>
          <w:szCs w:val="20"/>
        </w:rPr>
        <w:t xml:space="preserve">The Southeast Aurora / Arapahoe County multifamily submarket encompasses approximately 28,400 apartment units across 142 properties. The submarket is bounded by E-470 to the east, Arapahoe Road to the north, Parker Road to the west, and Cottonwood Creek to the south. Key demand drivers include proximity to the Anschutz Medical Campus (21,000 direct employees), Denver International Airport (6-mile drive), and the E-470 employment corridor (Amazon, UPS, FedEx hub operations).</w:t>
      </w:r>
    </w:p>
    <w:p>
      <w:pPr>
        <w:spacing w:after="80" w:before="80"/>
        <w:ind/>
      </w:pPr>
      <w:r>
        <w:rPr>
          <w:rFonts w:ascii="Arial" w:cs="Arial" w:eastAsia="Arial" w:hAnsi="Arial"/>
          <w:sz w:val="20"/>
          <w:szCs w:val="20"/>
        </w:rPr>
        <w:t xml:space="preserve">The submarket has consistently outperformed the metro average due to a combination of below-average new supply and strong employment growth in healthcare and logistics. As of Q3 2024, the submarket has absorbed 312 net new units year-to-date despite the delivery of one new property (The Arbors at Buckley — 204 units, opened June 2024).</w:t>
      </w:r>
    </w:p>
    <w:p>
      <w:pPr>
        <w:pStyle w:val="Heading2"/>
        <w:spacing w:after="80" w:before="240"/>
      </w:pPr>
      <w:r>
        <w:rPr>
          <w:rFonts w:ascii="Arial" w:cs="Arial" w:eastAsia="Arial" w:hAnsi="Arial"/>
          <w:b/>
          <w:bCs/>
          <w:sz w:val="24"/>
          <w:szCs w:val="24"/>
        </w:rPr>
        <w:t xml:space="preserve">1.1 Submarket Fundamentals — Q3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920"/>
        <w:gridCol w:w="1920"/>
        <w:gridCol w:w="2640"/>
      </w:tblGrid>
      <w:tr>
        <w:tc>
          <w:tcPr>
            <w:tcW w:type="dxa" w:w="288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Metric</w:t>
            </w:r>
          </w:p>
        </w:tc>
        <w:tc>
          <w:tcPr>
            <w:tcW w:type="dxa" w:w="19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SE Aurora Submarket</w:t>
            </w:r>
          </w:p>
        </w:tc>
        <w:tc>
          <w:tcPr>
            <w:tcW w:type="dxa" w:w="19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Denver Metro</w:t>
            </w:r>
          </w:p>
        </w:tc>
        <w:tc>
          <w:tcPr>
            <w:tcW w:type="dxa" w:w="264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Year-over-Year Change</w:t>
            </w:r>
          </w:p>
        </w:tc>
      </w:tr>
      <w:tr>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Total Units (Class B/C)</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28,400</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362,000</w:t>
            </w:r>
          </w:p>
        </w:tc>
        <w:tc>
          <w:tcPr>
            <w:tcW w:type="dxa" w:w="26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+1,840 net (SE Aurora)</w:t>
            </w:r>
          </w:p>
        </w:tc>
      </w:tr>
      <w:tr>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Overall Vacancy Rate</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5.8%</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7.1%</w:t>
            </w:r>
          </w:p>
        </w:tc>
        <w:tc>
          <w:tcPr>
            <w:tcW w:type="dxa" w:w="26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-0.4pp (SE Aurora improving)</w:t>
            </w:r>
          </w:p>
        </w:tc>
      </w:tr>
      <w:tr>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Class B Vacancy Rate</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5.2%</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6.4%</w:t>
            </w:r>
          </w:p>
        </w:tc>
        <w:tc>
          <w:tcPr>
            <w:tcW w:type="dxa" w:w="26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SE Aurora outperforming metro</w:t>
            </w:r>
          </w:p>
        </w:tc>
      </w:tr>
      <w:tr>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Avg Monthly Rent (all types)</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$1,398</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$1,612</w:t>
            </w:r>
          </w:p>
        </w:tc>
        <w:tc>
          <w:tcPr>
            <w:tcW w:type="dxa" w:w="26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+3.9% YoY (SE Aurora)</w:t>
            </w:r>
          </w:p>
        </w:tc>
      </w:tr>
      <w:tr>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Avg Monthly Rent (2BR/2BA)</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$1,475</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$1,698</w:t>
            </w:r>
          </w:p>
        </w:tc>
        <w:tc>
          <w:tcPr>
            <w:tcW w:type="dxa" w:w="26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+4.2% YoY (SE Aurora)</w:t>
            </w:r>
          </w:p>
        </w:tc>
      </w:tr>
      <w:tr>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Net Absorption (YTD Q3 2024)</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312 units</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1,840 units</w:t>
            </w:r>
          </w:p>
        </w:tc>
        <w:tc>
          <w:tcPr>
            <w:tcW w:type="dxa" w:w="26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Positive momentum</w:t>
            </w:r>
          </w:p>
        </w:tc>
      </w:tr>
      <w:tr>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New Supply (2024 deliveries)</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204 units (1 property)</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3,240 units</w:t>
            </w:r>
          </w:p>
        </w:tc>
        <w:tc>
          <w:tcPr>
            <w:tcW w:type="dxa" w:w="26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Well below metro avg</w:t>
            </w:r>
          </w:p>
        </w:tc>
      </w:tr>
      <w:tr>
        <w:tc>
          <w:tcPr>
            <w:tcW w:type="dxa" w:w="2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12-Month Rent Growth</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+4.2%</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+2.8%</w:t>
            </w:r>
          </w:p>
        </w:tc>
        <w:tc>
          <w:tcPr>
            <w:tcW w:type="dxa" w:w="26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SE Aurora premium +140bps</w:t>
            </w:r>
          </w:p>
        </w:tc>
      </w:tr>
    </w:tbl>
    <w:p>
      <w:pPr>
        <w:pStyle w:val="Heading2"/>
        <w:spacing w:after="80" w:before="240"/>
      </w:pPr>
      <w:r>
        <w:rPr>
          <w:rFonts w:ascii="Arial" w:cs="Arial" w:eastAsia="Arial" w:hAnsi="Arial"/>
          <w:b/>
          <w:bCs/>
          <w:sz w:val="24"/>
          <w:szCs w:val="24"/>
        </w:rPr>
        <w:t xml:space="preserve">1.2 Supply Pipeline (SE Aurora, 2024–2026)</w:t>
      </w:r>
    </w:p>
    <w:p>
      <w:pPr>
        <w:spacing w:after="80" w:before="80"/>
        <w:ind/>
      </w:pPr>
      <w:r>
        <w:rPr>
          <w:rFonts w:ascii="Arial" w:cs="Arial" w:eastAsia="Arial" w:hAnsi="Arial"/>
          <w:sz w:val="20"/>
          <w:szCs w:val="20"/>
        </w:rPr>
        <w:t xml:space="preserve">New supply in the SE Aurora submarket is constrained by limited developable land, Arapahoe County zoning restrictions, and high construction costs (currently estimated at $220,000–$250,000 per door for new wood-frame garden apartments). The pipeline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2160"/>
        <w:gridCol w:w="2040"/>
        <w:gridCol w:w="204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Project</w:t>
            </w:r>
          </w:p>
        </w:tc>
        <w:tc>
          <w:tcPr>
            <w:tcW w:type="dxa" w:w="7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Units</w:t>
            </w:r>
          </w:p>
        </w:tc>
        <w:tc>
          <w:tcPr>
            <w:tcW w:type="dxa" w:w="216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Developer</w:t>
            </w:r>
          </w:p>
        </w:tc>
        <w:tc>
          <w:tcPr>
            <w:tcW w:type="dxa" w:w="204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Projected Delivery</w:t>
            </w:r>
          </w:p>
        </w:tc>
        <w:tc>
          <w:tcPr>
            <w:tcW w:type="dxa" w:w="204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Distance from Cascade Ridge</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The Arbors at Buckley</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204</w:t>
            </w:r>
          </w:p>
        </w:tc>
        <w:tc>
          <w:tcPr>
            <w:tcW w:type="dxa" w:w="2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SunRidge Development</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Delivered Q2 2024</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1.2 miles</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Anschutz Village Phase II</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180</w:t>
            </w:r>
          </w:p>
        </w:tc>
        <w:tc>
          <w:tcPr>
            <w:tcW w:type="dxa" w:w="2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UCH Medical Campus</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2025 (staff housing)</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3.4 miles (effectively no competition)</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Cottonwood Creek Commons</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132</w:t>
            </w:r>
          </w:p>
        </w:tc>
        <w:tc>
          <w:tcPr>
            <w:tcW w:type="dxa" w:w="2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Pinebrook Partners</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Q3 2026 (under entitlement)</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2.8 miles</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TOTAL PIPELINE</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516 units</w:t>
            </w:r>
          </w:p>
        </w:tc>
        <w:tc>
          <w:tcPr>
            <w:tcW w:type="dxa" w:w="2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2024–2026</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Limited near-term competition</w:t>
            </w:r>
          </w:p>
        </w:tc>
      </w:tr>
    </w:tbl>
    <w:p>
      <w:pPr>
        <w:pStyle w:val="Heading1"/>
        <w:spacing w:after="120" w:before="360"/>
      </w:pPr>
      <w:r>
        <w:rPr>
          <w:rFonts w:ascii="Arial" w:cs="Arial" w:eastAsia="Arial" w:hAnsi="Arial"/>
          <w:b/>
          <w:bCs/>
          <w:sz w:val="28"/>
          <w:szCs w:val="28"/>
        </w:rPr>
        <w:t xml:space="preserve">2. COMPETITIVE SET ANALYSIS — CASCADE RIDGE</w:t>
      </w:r>
    </w:p>
    <w:p>
      <w:pPr>
        <w:spacing w:after="80" w:before="80"/>
        <w:ind/>
      </w:pPr>
      <w:r>
        <w:rPr>
          <w:rFonts w:ascii="Arial" w:cs="Arial" w:eastAsia="Arial" w:hAnsi="Arial"/>
          <w:sz w:val="20"/>
          <w:szCs w:val="20"/>
        </w:rPr>
        <w:t xml:space="preserve">Cascade Ridge competes primarily with eight Class B garden apartment communities within a 2.5-mile radius. The competitive set analysis below is based on Q3 2024 survey data from CoStar and direct property management contacts. All comparables are 2000–2015 vintage assets in similar condition to Cascade Ridge's current/unrenovated state.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20"/>
        <w:gridCol w:w="840"/>
        <w:gridCol w:w="720"/>
        <w:gridCol w:w="720"/>
        <w:gridCol w:w="960"/>
        <w:gridCol w:w="1080"/>
        <w:gridCol w:w="960"/>
        <w:gridCol w:w="1160"/>
      </w:tblGrid>
      <w:tr>
        <w:tc>
          <w:tcPr>
            <w:tcW w:type="dxa" w:w="19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Property</w:t>
            </w:r>
          </w:p>
        </w:tc>
        <w:tc>
          <w:tcPr>
            <w:tcW w:type="dxa" w:w="84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Year Built</w:t>
            </w:r>
          </w:p>
        </w:tc>
        <w:tc>
          <w:tcPr>
            <w:tcW w:type="dxa" w:w="7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Units</w:t>
            </w:r>
          </w:p>
        </w:tc>
        <w:tc>
          <w:tcPr>
            <w:tcW w:type="dxa" w:w="7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Occ.</w:t>
            </w:r>
          </w:p>
        </w:tc>
        <w:tc>
          <w:tcPr>
            <w:tcW w:type="dxa" w:w="96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1BR Rent</w:t>
            </w:r>
          </w:p>
        </w:tc>
        <w:tc>
          <w:tcPr>
            <w:tcW w:type="dxa" w:w="108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2BR/2BA Rent</w:t>
            </w:r>
          </w:p>
        </w:tc>
        <w:tc>
          <w:tcPr>
            <w:tcW w:type="dxa" w:w="96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3BR Rent</w:t>
            </w:r>
          </w:p>
        </w:tc>
        <w:tc>
          <w:tcPr>
            <w:tcW w:type="dxa" w:w="116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Notes</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Cascade Ridge (Subject)</w:t>
            </w:r>
          </w:p>
        </w:tc>
        <w:tc>
          <w:tcPr>
            <w:tcW w:type="dxa" w:w="8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2007</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240</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91.7%</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$1,152</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$1,302-$1,547</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$1,678</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Active reno; avg blended $1,371</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Ridgeline at Buckley</w:t>
            </w:r>
          </w:p>
        </w:tc>
        <w:tc>
          <w:tcPr>
            <w:tcW w:type="dxa" w:w="8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2005</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204</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94.1%</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$1,198</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$1,442</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$1,724</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Renovated; pool, fitness</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The Arbors at Buckley</w:t>
            </w:r>
          </w:p>
        </w:tc>
        <w:tc>
          <w:tcPr>
            <w:tcW w:type="dxa" w:w="8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2024</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204</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73.8%</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$1,385</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$1,698</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$1,985</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New; lease-up; concessions active</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Shadowridge Apartments</w:t>
            </w:r>
          </w:p>
        </w:tc>
        <w:tc>
          <w:tcPr>
            <w:tcW w:type="dxa" w:w="8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2003</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228</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93.9%</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$1,145</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$1,395</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$1,648</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Similar vintage; no pool</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Copper Creek</w:t>
            </w:r>
          </w:p>
        </w:tc>
        <w:tc>
          <w:tcPr>
            <w:tcW w:type="dxa" w:w="8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2009</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180</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95.0%</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$1,215</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$1,488</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$1,745</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Renovated; top of comps</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Eastside Commons</w:t>
            </w:r>
          </w:p>
        </w:tc>
        <w:tc>
          <w:tcPr>
            <w:tcW w:type="dxa" w:w="8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2001</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312</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92.0%</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$1,078</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$1,318</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$1,595</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Older; lower rents; deferred capex</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Aurora Park West</w:t>
            </w:r>
          </w:p>
        </w:tc>
        <w:tc>
          <w:tcPr>
            <w:tcW w:type="dxa" w:w="8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2008</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264</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91.3%</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$1,168</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$1,410</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$1,662</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Similar to subject; partial reno</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Smoky Hill Estates</w:t>
            </w:r>
          </w:p>
        </w:tc>
        <w:tc>
          <w:tcPr>
            <w:tcW w:type="dxa" w:w="8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2000</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180</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94.4%</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$1,095</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$1,355</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$1,620</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Older; well-maintained</w:t>
            </w:r>
          </w:p>
        </w:tc>
      </w:tr>
      <w:tr>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SUBMARKET AVG (ex-subject)</w:t>
            </w:r>
          </w:p>
        </w:tc>
        <w:tc>
          <w:tcPr>
            <w:tcW w:type="dxa" w:w="8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91.0%</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$1,183</w:t>
            </w:r>
          </w:p>
        </w:tc>
        <w:tc>
          <w:tcPr>
            <w:tcW w:type="dxa" w:w="1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$1,444</w:t>
            </w:r>
          </w:p>
        </w:tc>
        <w:tc>
          <w:tcPr>
            <w:tcW w:type="dxa" w:w="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$1,711</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Avg rent for unrenovated 2BR: $1,380</w:t>
            </w:r>
          </w:p>
        </w:tc>
      </w:tr>
    </w:tbl>
    <w:p>
      <w:pPr>
        <w:pStyle w:val="Heading1"/>
        <w:spacing w:after="120" w:before="360"/>
      </w:pPr>
      <w:r>
        <w:rPr>
          <w:rFonts w:ascii="Arial" w:cs="Arial" w:eastAsia="Arial" w:hAnsi="Arial"/>
          <w:b/>
          <w:bCs/>
          <w:sz w:val="28"/>
          <w:szCs w:val="28"/>
        </w:rPr>
        <w:t xml:space="preserve">3. RENT PREMIUM ANALYSIS — RENOVATION IMPACT</w:t>
      </w:r>
    </w:p>
    <w:p>
      <w:pPr>
        <w:spacing w:after="80" w:before="80"/>
        <w:ind/>
      </w:pPr>
      <w:r>
        <w:rPr>
          <w:rFonts w:ascii="Arial" w:cs="Arial" w:eastAsia="Arial" w:hAnsi="Arial"/>
          <w:sz w:val="20"/>
          <w:szCs w:val="20"/>
        </w:rPr>
        <w:t xml:space="preserve">Post-renovation achievable rents at Cascade Ridge (based on 33 completed Phase 1 units as of Q3 2024): The data confirms the renovation premium exceeds underwriting assumptions by approximately $22/month on 2BR/2BA units.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80"/>
        <w:gridCol w:w="1320"/>
        <w:gridCol w:w="2040"/>
        <w:gridCol w:w="1920"/>
        <w:gridCol w:w="1920"/>
        <w:gridCol w:w="1480"/>
      </w:tblGrid>
      <w:tr>
        <w:tc>
          <w:tcPr>
            <w:tcW w:type="dxa" w:w="168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Unit Type</w:t>
            </w:r>
          </w:p>
        </w:tc>
        <w:tc>
          <w:tcPr>
            <w:tcW w:type="dxa" w:w="13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Pre-Reno Actual</w:t>
            </w:r>
          </w:p>
        </w:tc>
        <w:tc>
          <w:tcPr>
            <w:tcW w:type="dxa" w:w="204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Post-Reno Achieved (Q3 2024)</w:t>
            </w:r>
          </w:p>
        </w:tc>
        <w:tc>
          <w:tcPr>
            <w:tcW w:type="dxa" w:w="19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Market Comp (Renovated)</w:t>
            </w:r>
          </w:p>
        </w:tc>
        <w:tc>
          <w:tcPr>
            <w:tcW w:type="dxa" w:w="192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Premium vs. Pre-Reno</w:t>
            </w:r>
          </w:p>
        </w:tc>
        <w:tc>
          <w:tcPr>
            <w:tcW w:type="dxa" w:w="1480"/>
            <w:tcBorders>
              <w:top w:val="single" w:color="CCCCCC" w:sz="1"/>
              <w:left w:val="single" w:color="CCCCCC" w:sz="1"/>
              <w:bottom w:val="single" w:color="CCCCCC" w:sz="1"/>
              <w:right w:val="single" w:color="CCCCCC" w:sz="1"/>
            </w:tcBorders>
            <w:shd w:fill="E8E8E8" w:val="clear"/>
            <w:tcMar>
              <w:top w:type="dxa" w:w="80"/>
              <w:left w:type="dxa" w:w="80"/>
              <w:bottom w:type="dxa" w:w="80"/>
              <w:right w:type="dxa" w:w="80"/>
            </w:tcMar>
          </w:tcPr>
          <w:p>
            <w:r>
              <w:rPr>
                <w:rFonts w:ascii="Arial" w:cs="Arial" w:eastAsia="Arial" w:hAnsi="Arial"/>
                <w:b/>
                <w:bCs/>
                <w:sz w:val="17"/>
                <w:szCs w:val="17"/>
              </w:rPr>
              <w:t xml:space="preserve">Premium vs. Market</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1BR/1BA</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$1,125</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$1,378</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$1,355</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+$253/mo (+22.5%)</w:t>
            </w:r>
          </w:p>
        </w:tc>
        <w:tc>
          <w:tcPr>
            <w:tcW w:type="dxa" w:w="14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At market</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2BR/2BA</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$1,302</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$1,547</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$1,525</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+$245/mo (+18.8%)</w:t>
            </w:r>
          </w:p>
        </w:tc>
        <w:tc>
          <w:tcPr>
            <w:tcW w:type="dxa" w:w="14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+$22/mo vs. comp</w:t>
            </w:r>
          </w:p>
        </w:tc>
      </w:tr>
      <w:tr>
        <w:tc>
          <w:tcPr>
            <w:tcW w:type="dxa" w:w="16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3BR/2BA</w:t>
            </w:r>
          </w:p>
        </w:tc>
        <w:tc>
          <w:tcPr>
            <w:tcW w:type="dxa" w:w="13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$1,652</w:t>
            </w:r>
          </w:p>
        </w:tc>
        <w:tc>
          <w:tcPr>
            <w:tcW w:type="dxa" w:w="20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Not yet renovated</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$1,750</w:t>
            </w:r>
          </w:p>
        </w:tc>
        <w:tc>
          <w:tcPr>
            <w:tcW w:type="dxa" w:w="192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TBD</w:t>
            </w:r>
          </w:p>
        </w:tc>
        <w:tc>
          <w:tcPr>
            <w:tcW w:type="dxa" w:w="14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Underwriting: $2,025</w:t>
            </w:r>
          </w:p>
        </w:tc>
      </w:tr>
    </w:tbl>
    <w:p>
      <w:pPr>
        <w:pStyle w:val="Heading1"/>
        <w:spacing w:after="120" w:before="360"/>
      </w:pPr>
      <w:r>
        <w:rPr>
          <w:rFonts w:ascii="Arial" w:cs="Arial" w:eastAsia="Arial" w:hAnsi="Arial"/>
          <w:b/>
          <w:bCs/>
          <w:sz w:val="28"/>
          <w:szCs w:val="28"/>
        </w:rPr>
        <w:t xml:space="preserve">4. INVESTMENT MARKET OVERVIEW</w:t>
      </w:r>
    </w:p>
    <w:p>
      <w:pPr>
        <w:spacing w:after="80" w:before="80"/>
        <w:ind/>
      </w:pPr>
      <w:r>
        <w:rPr>
          <w:rFonts w:ascii="Arial" w:cs="Arial" w:eastAsia="Arial" w:hAnsi="Arial"/>
          <w:sz w:val="20"/>
          <w:szCs w:val="20"/>
        </w:rPr>
        <w:t xml:space="preserve">Cap rate trends for Class B multifamily in the SE Denver metro: Q3 2024 transaction activity shows cap rates ranging from 5.58% to 5.80% for stabilized Class B/B+ assets. Value-add buyers (partially stabilized assets similar to Cascade Ridge) are pricing at a slight discount to stabilized transactions, with initial yields of 5.50%–5.75%.</w:t>
      </w:r>
    </w:p>
    <w:p>
      <w:pPr>
        <w:spacing w:after="80" w:before="80"/>
        <w:ind/>
      </w:pPr>
      <w:r>
        <w:rPr>
          <w:rFonts w:ascii="Arial" w:cs="Arial" w:eastAsia="Arial" w:hAnsi="Arial"/>
          <w:sz w:val="20"/>
          <w:szCs w:val="20"/>
        </w:rPr>
        <w:t xml:space="preserve">Interest rate environment: The Federal Funds Rate has remained elevated at 5.25%–5.50% throughout Q3 2024. However, multifamily cap rates have remained stable in this submarket due to the strong supply/demand imbalance. Bridge loan spreads (SOFR+250 to SOFR+325bps) are consistent with Cascade Ridge's existing financing.</w:t>
      </w:r>
    </w:p>
    <w:p>
      <w:pPr>
        <w:spacing w:after="80" w:before="80"/>
        <w:ind/>
      </w:pPr>
      <w:r>
        <w:rPr>
          <w:rFonts w:ascii="Arial" w:cs="Arial" w:eastAsia="Arial" w:hAnsi="Arial"/>
          <w:sz w:val="20"/>
          <w:szCs w:val="20"/>
        </w:rPr>
        <w:t xml:space="preserve">Report Sources: CoStar Q3 2024 Market Report (SE Aurora); Direct comp surveys by Meridian Capital Research; Arapahoe County Assessor data; CBRE Multifamily Q3 2024 Outlook.</w:t>
      </w:r>
    </w:p>
    <w:p>
      <w:pPr>
        <w:spacing w:after="80" w:before="80"/>
        <w:ind/>
      </w:pPr>
      <w:r>
        <w:rPr>
          <w:rFonts w:ascii="Arial" w:cs="Arial" w:eastAsia="Arial" w:hAnsi="Arial"/>
          <w:sz w:val="20"/>
          <w:szCs w:val="20"/>
        </w:rPr>
        <w:t xml:space="preserve">Prepared: October 2024 | Meridian Capital Group LLC — Research Division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2026-03-05T20:45:04.327Z</dcterms:created>
  <dcterms:modified xsi:type="dcterms:W3CDTF">2026-03-05T20:45:04.327Z</dcterms:modified>
</cp:coreProperties>
</file>

<file path=docProps/custom.xml><?xml version="1.0" encoding="utf-8"?>
<Properties xmlns="http://schemas.openxmlformats.org/officeDocument/2006/custom-properties" xmlns:vt="http://schemas.openxmlformats.org/officeDocument/2006/docPropsVTypes"/>
</file>