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BUDGET VS. ACTUAL VARIANCE COMMENTARY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Q3 2024 Year-to-Date (January 1 – September 30, 2024)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Cascade Ridge Apartments | Prepared: October 14, 2024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EXECUTIVE SUMMARY</w:t>
      </w:r>
    </w:p>
    <w:p>
      <w:pPr>
        <w:spacing w:after="80" w:before="80"/>
        <w:ind/>
      </w:pPr>
      <w:r>
        <w:rPr>
          <w:rFonts w:ascii="Arial" w:cs="Arial" w:eastAsia="Arial" w:hAnsi="Arial"/>
          <w:sz w:val="20"/>
          <w:szCs w:val="20"/>
        </w:rPr>
        <w:t xml:space="preserve">For the nine months ended September 30, 2024 (Q3 2024 YTD), total revenue exceeded budget by $87,291 (+3.3%), and Net Operating Income exceeded budget by $121,847 (+8.1%). The favorable performance is driven by three primary factors: (1) ahead-of-plan occupancy improvement driven by strong leasing demand in the Aurora submarket; (2) above-underwriting post-renovation rental rates on completed Phase 1 units; and (3) tight expense management by Meridian Property Management LLC. The primary unfavorable variance is payroll, which is slightly above budget due to a mid-year hire of an additional maintenance technician.</w:t>
      </w:r>
    </w:p>
    <w:p>
      <w:pPr>
        <w:spacing w:after="80" w:before="80"/>
        <w:ind/>
      </w:pPr>
      <w:r>
        <w:rPr>
          <w:rFonts w:ascii="Arial" w:cs="Arial" w:eastAsia="Arial" w:hAnsi="Arial"/>
          <w:sz w:val="20"/>
          <w:szCs w:val="20"/>
        </w:rPr>
        <w:t xml:space="preserve">Full-year 2024 NOI is now projected at $2,198,000, representing 1.4% above the approved 2024 budget of $2,166,000.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DETAILED VARIANCE TABLE — Q3 2024 YTD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200"/>
        <w:gridCol w:w="1200"/>
        <w:gridCol w:w="1200"/>
        <w:gridCol w:w="960"/>
        <w:gridCol w:w="26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Line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Q3 YTD</w:t>
            </w:r>
          </w:p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br/>
              <w:t xml:space="preserve">Actual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Q3 YTD</w:t>
            </w:r>
          </w:p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br/>
              <w:t xml:space="preserve">Budget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Variance</w:t>
            </w:r>
          </w:p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br/>
              <w:t xml:space="preserve">($)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Variance</w:t>
            </w:r>
          </w:p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br/>
              <w:t xml:space="preserve">(%)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Commentary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REVENUE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Gross Potential Rent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$2,950,680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$2,880,000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+$70,680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+2.5%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Higher avg in-place rent; renovated units driving uplift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Less: Vacancy &amp; Credit 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($204,897)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($273,600)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+$68,703 fav.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-25.1%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Occupancy reached 91.7% vs. 90.5% budget; better-than-plan lease-up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Effective Gross Revenue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$2,745,783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$2,606,400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+$139,383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+5.3%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Driven by lower vacancy than plan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Other Income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$87,800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$87,000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+$800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+0.9%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Slightly above budget; pet fees higher than modeled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REVENUE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$2,833,583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$2,693,400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+$140,183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+5.2%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OPERATING EXPENSES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Payroll &amp; Benefits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($511,800)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($495,000)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($16,800) unfav.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+3.4%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Additional maintenance tech hired Aug 2024 ($56K annualized); necessary for renovation oversight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Repairs &amp; Maintenance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($196,200)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($208,500)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+$12,300 fav.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-5.9%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Below budget; favorable bid on exterior painting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Contract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($123,750)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($130,500)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+$6,750 fav.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-5.2%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Landscaping contract renewed at same rate; elevator maintenance below budget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Utilities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($115,200)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($121,500)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+$6,300 fav.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-5.2%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LED retrofit completed Q1 reduces common area utility cost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Property Mgmt Fee (4.5% of EGR)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($123,560)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($117,288)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($6,272) unfav.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+5.3%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Higher than budget due to higher EGR; fee is percentage-based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Insurance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($46,125)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($46,125)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Fixed annual premium; on budget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Property Taxes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($36,423)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($38,421)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+$1,998 fav.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-5.2%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Reassessment deferred to 2025; current levy consistent with estimate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OPERATING EXPENSES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($1,153,058)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($1,157,334)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+$4,276 fav.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-0.4%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Slightly favorable overall despite payroll overage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NET OPERATING INCOME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$1,680,525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$1,536,066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+$144,459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+9.4%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Strong outperformance driven by revenue upside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Replacement Reserve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($63,000)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($63,000)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Monthly $7K on budget ($30K/mo full year)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ADJUSTED NOI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$1,617,525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$1,473,066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+$144,459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+9.8%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Debt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($1,301,126)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($1,301,126)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IO loan; interest-only on track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CASH FLOW AFTER 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$316,399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$171,940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+$144,459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+84.0%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swept to Cash Sweep Account (cash sweep still active)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NOTABLE VARIANCES — NARRATIVE EXPLANATIONS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Vacancy / Credit Loss — Favorable $68,703 (YTD)</w:t>
      </w:r>
    </w:p>
    <w:p>
      <w:pPr>
        <w:spacing w:after="80" w:before="80"/>
        <w:ind/>
      </w:pPr>
      <w:r>
        <w:rPr>
          <w:rFonts w:ascii="Arial" w:cs="Arial" w:eastAsia="Arial" w:hAnsi="Arial"/>
          <w:sz w:val="20"/>
          <w:szCs w:val="20"/>
        </w:rPr>
        <w:t xml:space="preserve">The most significant favorable variance year-to-date is the lower-than-budgeted vacancy and credit loss. Budget assumed occupancy of 90.5% at June 30 (ramp from 86.7% at acquisition). Actual occupancy reached 91.7% by September 30 — three months ahead of the original lease-up schedule. Credit losses have also been lower than anticipated: delinquency rate is 0.8% of GPR vs. 1.5% budgeted, reflecting stronger resident quality in the post-renovation leasing pool.</w:t>
      </w:r>
    </w:p>
    <w:p>
      <w:pPr>
        <w:spacing w:after="80" w:before="80"/>
        <w:ind/>
      </w:pPr>
      <w:r>
        <w:rPr>
          <w:rFonts w:ascii="Arial" w:cs="Arial" w:eastAsia="Arial" w:hAnsi="Arial"/>
          <w:sz w:val="20"/>
          <w:szCs w:val="20"/>
        </w:rPr>
        <w:t xml:space="preserve">Outlook: Full-year vacancy loss is expected to come in at $265,000, vs. budget of $364,800 — a $99,800 favorable variance for the full year.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Payroll &amp; Benefits — Unfavorable ($16,800) YTD</w:t>
      </w:r>
    </w:p>
    <w:p>
      <w:pPr>
        <w:spacing w:after="80" w:before="80"/>
        <w:ind/>
      </w:pPr>
      <w:r>
        <w:rPr>
          <w:rFonts w:ascii="Arial" w:cs="Arial" w:eastAsia="Arial" w:hAnsi="Arial"/>
          <w:sz w:val="20"/>
          <w:szCs w:val="20"/>
        </w:rPr>
        <w:t xml:space="preserve">The payroll overage reflects a strategic decision by Meridian Property Management to hire an additional full-time maintenance technician in August 2024 to support the accelerating Phase 1 renovation program. This was not contemplated in the original 2024 budget. The additional position ($56,000 annualized, $23,300 for partial year 2024) is critical to meeting the December 15 Phase 1 completion date. The cost is partially offset by lower contractor call-out fees (included in R&amp;M, which is favorable).</w:t>
      </w:r>
    </w:p>
    <w:p>
      <w:pPr>
        <w:spacing w:after="80" w:before="80"/>
        <w:ind/>
      </w:pPr>
      <w:r>
        <w:rPr>
          <w:rFonts w:ascii="Arial" w:cs="Arial" w:eastAsia="Arial" w:hAnsi="Arial"/>
          <w:sz w:val="20"/>
          <w:szCs w:val="20"/>
        </w:rPr>
        <w:t xml:space="preserve">Outlook: Full-year payroll is projected at $678,000 vs. budget of $660,000 — a ($18,000) full-year unfavorable variance.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Utilities — Favorable $6,300 YTD</w:t>
      </w:r>
    </w:p>
    <w:p>
      <w:pPr>
        <w:spacing w:after="80" w:before="80"/>
        <w:ind/>
      </w:pPr>
      <w:r>
        <w:rPr>
          <w:rFonts w:ascii="Arial" w:cs="Arial" w:eastAsia="Arial" w:hAnsi="Arial"/>
          <w:sz w:val="20"/>
          <w:szCs w:val="20"/>
        </w:rPr>
        <w:t xml:space="preserve">A common-area LED lighting retrofit completed in Q1 2024 (cost: $8,400 from CapEx reserve, not in the operating budget) reduced common area electricity consumption by approximately 22%. This initiative was not in the original budget and provides an ongoing annual utility savings of approximately $9,600. The utility variance is expected to remain favorable for the full year.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FULL-YEAR OUTLOOK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680"/>
        <w:gridCol w:w="1680"/>
        <w:gridCol w:w="1680"/>
        <w:gridCol w:w="144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2024 Budget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2024 Projected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Variance ($)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Variance (%)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Revenue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$3,587,700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$3,749,200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+$161,500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+4.5%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Operating Expenses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($1,543,112)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($1,551,200)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($8,088)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-0.5%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Net Operating Income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$2,044,588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$2,198,000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+$153,412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+7.5%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DSCR (full year)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1.18x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1.27x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+0.09x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Well above 1.20x threshold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1 Reno Units Completed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48 (by Dec 15)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 plan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Year-End Occupancy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92.5%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93.0%+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+0.5pp favorable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80"/>
        <w:ind/>
      </w:pPr>
      <w:r>
        <w:rPr>
          <w:rFonts w:ascii="Arial" w:cs="Arial" w:eastAsia="Arial" w:hAnsi="Arial"/>
          <w:sz w:val="20"/>
          <w:szCs w:val="20"/>
        </w:rPr>
        <w:t xml:space="preserve">Prepared by: Meridian Capital Group LLC — Asset Management | October 14, 2024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2026-03-05T20:45:04.340Z</dcterms:created>
  <dcterms:modified xsi:type="dcterms:W3CDTF">2026-03-05T20:45:04.340Z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