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4"/>
          <w:szCs w:val="44"/>
        </w:rPr>
        <w:t xml:space="preserve">INSURANCE CERTIFICATE SUMMARY</w:t>
      </w:r>
    </w:p>
    <w:p>
      <w:pPr>
        <w:spacing w:after="480" w:before="0"/>
        <w:jc w:val="center"/>
      </w:pPr>
      <w:r>
        <w:rPr>
          <w:rFonts w:ascii="Arial" w:cs="Arial" w:eastAsia="Arial" w:hAnsi="Arial"/>
          <w:color w:val="555555"/>
          <w:sz w:val="22"/>
          <w:szCs w:val="22"/>
        </w:rPr>
        <w:t xml:space="preserve">Cascade Ridge Apartments — Policy Year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Insured: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Additional Insured / Mortgagee: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 (all policies)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 Address: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4200 Cascade Ridge Drive, Aurora, Colorado 80011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Policy Year: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 – March 14, 2025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Insurance Broker: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Risk Management, LLC (303-555-0182)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Annual Premium (Total):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$98,256 (all lines combined)</w:t>
            </w:r>
          </w:p>
        </w:tc>
      </w:tr>
    </w:tbl>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440"/>
        <w:gridCol w:w="960"/>
        <w:gridCol w:w="1560"/>
        <w:gridCol w:w="960"/>
        <w:gridCol w:w="1320"/>
      </w:tblGrid>
      <w:tr>
        <w:tc>
          <w:tcPr>
            <w:tcW w:type="dxa" w:w="168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Coverage Line</w:t>
            </w:r>
          </w:p>
        </w:tc>
        <w:tc>
          <w:tcPr>
            <w:tcW w:type="dxa" w:w="14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Carrier</w:t>
            </w:r>
          </w:p>
        </w:tc>
        <w:tc>
          <w:tcPr>
            <w:tcW w:type="dxa" w:w="14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Policy No.</w:t>
            </w:r>
          </w:p>
        </w:tc>
        <w:tc>
          <w:tcPr>
            <w:tcW w:type="dxa" w:w="9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Effective Date</w:t>
            </w:r>
          </w:p>
        </w:tc>
        <w:tc>
          <w:tcPr>
            <w:tcW w:type="dxa" w:w="15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Limits</w:t>
            </w:r>
          </w:p>
        </w:tc>
        <w:tc>
          <w:tcPr>
            <w:tcW w:type="dxa" w:w="9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Premium</w:t>
            </w:r>
          </w:p>
        </w:tc>
        <w:tc>
          <w:tcPr>
            <w:tcW w:type="dxa" w:w="13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Meets</w:t>
            </w:r>
          </w:p>
          <w:p>
            <w:r>
              <w:rPr>
                <w:rFonts w:ascii="Arial" w:cs="Arial" w:eastAsia="Arial" w:hAnsi="Arial"/>
                <w:b/>
                <w:bCs/>
                <w:sz w:val="17"/>
                <w:szCs w:val="17"/>
              </w:rPr>
              <w:br/>
              <w:t xml:space="preserve">Loan Req.</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Property (All Risk / Special Form)</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Zurich American Insurance</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ZAM-24-4821</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3/15/2024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$46,500,000 RCV (full replacement cost; BI: 18 months)</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$54,120</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Commercial General Liability</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Travelers Indemnity Co.</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TIC-24-GL-88210</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3/15/2024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$2M/occurrence; $5M aggregate; $2M products/completed ops</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$18,480</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Excess / Umbrella Liability</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Arch Insurance Co.</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AIC-24-XS-4821</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3/15/2024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$10M per occurrence / $10M aggregate; follow-form to GL</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$8,400</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Workers Compensation</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Liberty Mutual Insurance</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LM-24-WC-4821</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3/15/2024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Statutory (CO); Employers Liability: $1M/$1M/$1M</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$9,240</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Flood Insurance</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N/A (not required)</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N/A</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N/A</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Zone X (Unshaded) — no flood insurance required per FEMA FIRM Map 08005C0225J</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$0</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N/A</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Terrorism (TRIA)</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Zurich American (endorsement)</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ZAM-24-4821-T</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3/15/2024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Included in property policy; $46.5M limit; required by Loan Agreement</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Included</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Fidelity / Crime (Manager)</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Liberty Mutual (Mgr policy)</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LM-24-FM-8822</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4/1/2024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$500,000 per occurrence; covers Meridian Property Mgmt employees</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$2,016</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E&amp;O (Manager)</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Hartford Financial</w:t>
            </w:r>
          </w:p>
        </w:tc>
        <w:tc>
          <w:tcPr>
            <w:tcW w:type="dxa" w:w="14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HF-24-EO-4821</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4/1/2024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$1,000,000 per claim / $2,000,000 aggregate (Meridian Prop Mgmt)</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$6,000</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YES</w:t>
            </w:r>
          </w:p>
        </w:tc>
      </w:tr>
    </w:tbl>
    <w:p>
      <w:pPr>
        <w:spacing w:after="60" w:before="0"/>
      </w:pPr>
      <w:r>
        <w:t xml:space="preserve"/>
      </w:r>
    </w:p>
    <w:p>
      <w:pPr>
        <w:pStyle w:val="Heading2"/>
        <w:spacing w:after="80" w:before="240"/>
      </w:pPr>
      <w:r>
        <w:rPr>
          <w:rFonts w:ascii="Arial" w:cs="Arial" w:eastAsia="Arial" w:hAnsi="Arial"/>
          <w:b/>
          <w:bCs/>
          <w:sz w:val="24"/>
          <w:szCs w:val="24"/>
        </w:rPr>
        <w:t xml:space="preserve">COVERAGE NOTES AND COMPLIANCE STATUS</w:t>
      </w:r>
    </w:p>
    <w:p>
      <w:pPr>
        <w:spacing w:after="80" w:before="80"/>
        <w:ind/>
      </w:pPr>
      <w:r>
        <w:rPr>
          <w:rFonts w:ascii="Arial" w:cs="Arial" w:eastAsia="Arial" w:hAnsi="Arial"/>
          <w:sz w:val="20"/>
          <w:szCs w:val="20"/>
        </w:rPr>
        <w:t xml:space="preserve">Mortgagee / Additional Insured: Hartwell Capital Partners LLC is named as mortgagee and additional insured on all policies as required by Article 10 of the Loan Agreement and Section 6 of the Property Management Agreement. ACORD 27 (Evidence of Property Insurance) and ACORD 25 (Certificate of Liability) have been issued and delivered to Lender.</w:t>
      </w:r>
    </w:p>
    <w:p>
      <w:pPr>
        <w:spacing w:after="80" w:before="80"/>
        <w:ind/>
      </w:pPr>
      <w:r>
        <w:rPr>
          <w:rFonts w:ascii="Arial" w:cs="Arial" w:eastAsia="Arial" w:hAnsi="Arial"/>
          <w:sz w:val="20"/>
          <w:szCs w:val="20"/>
        </w:rPr>
        <w:t xml:space="preserve">Replacement Cost Value (RCV): The insured value of $46,500,000 exceeds the appraised as-is value of $39,000,000 (September 2024 internal valuation), providing coverage in excess of the required amount. The RCV was determined by an insurer-conducted appraisal reflecting construction replacement cost.</w:t>
      </w:r>
    </w:p>
    <w:p>
      <w:pPr>
        <w:spacing w:after="80" w:before="80"/>
        <w:ind/>
      </w:pPr>
      <w:r>
        <w:rPr>
          <w:rFonts w:ascii="Arial" w:cs="Arial" w:eastAsia="Arial" w:hAnsi="Arial"/>
          <w:sz w:val="20"/>
          <w:szCs w:val="20"/>
        </w:rPr>
        <w:t xml:space="preserve">Business Interruption: 18-month BI coverage exceeds the Loan Agreement minimum of 12 months. Business interruption income is based on actual lost rental income, net of continuing expenses.</w:t>
      </w:r>
    </w:p>
    <w:p>
      <w:pPr>
        <w:spacing w:after="80" w:before="80"/>
        <w:ind/>
      </w:pPr>
      <w:r>
        <w:rPr>
          <w:rFonts w:ascii="Arial" w:cs="Arial" w:eastAsia="Arial" w:hAnsi="Arial"/>
          <w:sz w:val="20"/>
          <w:szCs w:val="20"/>
        </w:rPr>
        <w:t xml:space="preserve">Flood: The Property is located in FEMA Flood Zone X (unshaded), which is outside the 100-year and 500-year floodplains. Flood insurance is not required by the National Flood Insurance Program or the Loan Agreement. The Zone X determination was confirmed by National Flood Services certificate dated February 28, 2024.</w:t>
      </w:r>
    </w:p>
    <w:p>
      <w:pPr>
        <w:spacing w:after="80" w:before="80"/>
        <w:ind/>
      </w:pPr>
      <w:r>
        <w:rPr>
          <w:rFonts w:ascii="Arial" w:cs="Arial" w:eastAsia="Arial" w:hAnsi="Arial"/>
          <w:sz w:val="20"/>
          <w:szCs w:val="20"/>
        </w:rPr>
        <w:t xml:space="preserve">Earthquake: The Property Condition Assessment noted a Probable Maximum Loss (PML) of 12.3%, which is within the Lender's acceptable threshold of 20%. Earthquake coverage is not separately maintained but is not required by the Loan Agreement for properties with PML below 20%.</w:t>
      </w:r>
    </w:p>
    <w:p>
      <w:pPr>
        <w:spacing w:after="80" w:before="80"/>
        <w:ind/>
      </w:pPr>
      <w:r>
        <w:rPr>
          <w:rFonts w:ascii="Arial" w:cs="Arial" w:eastAsia="Arial" w:hAnsi="Arial"/>
          <w:sz w:val="20"/>
          <w:szCs w:val="20"/>
        </w:rPr>
        <w:t xml:space="preserve">Renewal Requirements: Lender must receive evidence of renewal coverage no later than 30 days prior to policy expiration (March 14, 2025). Meridian Risk Management is tracking renewal dates and will deliver COIs to Lender by February 13, 2025.</w:t>
      </w:r>
    </w:p>
    <w:p>
      <w:pPr>
        <w:pStyle w:val="Heading2"/>
        <w:spacing w:after="80" w:before="240"/>
      </w:pPr>
      <w:r>
        <w:rPr>
          <w:rFonts w:ascii="Arial" w:cs="Arial" w:eastAsia="Arial" w:hAnsi="Arial"/>
          <w:b/>
          <w:bCs/>
          <w:sz w:val="24"/>
          <w:szCs w:val="24"/>
        </w:rPr>
        <w:t xml:space="preserve">CERTIFICATES OF INSURANCE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2880"/>
        <w:gridCol w:w="1200"/>
        <w:gridCol w:w="192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Document</w:t>
            </w:r>
          </w:p>
        </w:tc>
        <w:tc>
          <w:tcPr>
            <w:tcW w:type="dxa" w:w="9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Form</w:t>
            </w:r>
          </w:p>
        </w:tc>
        <w:tc>
          <w:tcPr>
            <w:tcW w:type="dxa" w:w="288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Recipient</w:t>
            </w:r>
          </w:p>
        </w:tc>
        <w:tc>
          <w:tcPr>
            <w:tcW w:type="dxa" w:w="120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Status</w:t>
            </w:r>
          </w:p>
        </w:tc>
        <w:tc>
          <w:tcPr>
            <w:tcW w:type="dxa" w:w="19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Date Issued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Evidence of Property Insurance</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ACORD 27</w:t>
            </w:r>
          </w:p>
        </w:tc>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Hartwell Capital Partners LLC</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March 15, 2024</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Certificate of Liability Insurance</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ACORD 25</w:t>
            </w:r>
          </w:p>
        </w:tc>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Hartwell Capital Partners LLC</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March 15, 2024</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Workers Comp Certificate</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ACORD 25</w:t>
            </w:r>
          </w:p>
        </w:tc>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Hartwell Capital Partners LLC</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March 15, 2024</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Manager E&amp;O Certificate</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ACORD 25</w:t>
            </w:r>
          </w:p>
        </w:tc>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Meridian Capital Holdings IV LLC</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April 1, 2024</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Flood Zone Determination</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FEMA Form</w:t>
            </w:r>
          </w:p>
        </w:tc>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Hartwell Capital Partners LLC</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February 28, 2024</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Annual COI Update (Q3 2024)</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ACORD 27/25</w:t>
            </w:r>
          </w:p>
        </w:tc>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Hartwell Capital Partners LLC</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October 1, 2024</w:t>
            </w:r>
          </w:p>
        </w:tc>
      </w:tr>
    </w:tbl>
    <w:p>
      <w:pPr>
        <w:spacing w:after="80" w:before="80"/>
        <w:ind/>
      </w:pPr>
      <w:r>
        <w:rPr>
          <w:rFonts w:ascii="Arial" w:cs="Arial" w:eastAsia="Arial" w:hAnsi="Arial"/>
          <w:sz w:val="20"/>
          <w:szCs w:val="20"/>
        </w:rPr>
        <w:t xml:space="preserve">Prepared by: Meridian Risk Management, LLC | October 2024</w:t>
      </w:r>
    </w:p>
    <w:p>
      <w:pPr>
        <w:spacing w:after="80" w:before="80"/>
        <w:ind/>
      </w:pPr>
      <w:r>
        <w:rPr>
          <w:rFonts w:ascii="Arial" w:cs="Arial" w:eastAsia="Arial" w:hAnsi="Arial"/>
          <w:sz w:val="20"/>
          <w:szCs w:val="20"/>
        </w:rPr>
        <w:t xml:space="preserve">Contact: risk@meridianrisk.com | 303-555-0182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2026-03-05T20:45:04.345Z</dcterms:created>
  <dcterms:modified xsi:type="dcterms:W3CDTF">2026-03-05T20:45:04.345Z</dcterms:modified>
</cp:coreProperties>
</file>

<file path=docProps/custom.xml><?xml version="1.0" encoding="utf-8"?>
<Properties xmlns="http://schemas.openxmlformats.org/officeDocument/2006/custom-properties" xmlns:vt="http://schemas.openxmlformats.org/officeDocument/2006/docPropsVTypes"/>
</file>