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Aurora Residences Underwriting Memo</w:t>
      </w:r>
    </w:p>
    <w:p>
      <w:r>
        <w:t xml:space="preserve">Aurora Residences is categorized as multifamily in Denver, CO.</w:t>
      </w:r>
    </w:p>
    <w:p>
      <w:r>
        <w:t xml:space="preserve">Q1 2026 NOI is $1,180,000, stabilized value is $27,500,000, and debt outstanding is $16,750,000.</w:t>
      </w:r>
    </w:p>
    <w:p>
      <w:r>
        <w:t xml:space="preserve">Current DSCR is 1.58x and WALT is 0.9 years.</w:t>
      </w:r>
    </w:p>
    <w:p>
      <w:r>
        <w:t xml:space="preserve">The underwriting conclusion supports the current valuation so long as NOI and occupancy remain within the underwritten range.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/Relationships>
</file>