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Cedar Grove Senior Living Underwriting Memo</w:t>
      </w:r>
    </w:p>
    <w:p>
      <w:r>
        <w:t xml:space="preserve">Cedar Grove Senior Living is categorized as senior_housing in Phoenix, AZ.</w:t>
      </w:r>
    </w:p>
    <w:p>
      <w:r>
        <w:t xml:space="preserve">Q1 2026 NOI is $980,000, stabilized value is $21,800,000, and debt outstanding is $13,400,000.</w:t>
      </w:r>
    </w:p>
    <w:p>
      <w:r>
        <w:t xml:space="preserve">Current DSCR is 1.44x and WALT is 1.3 years.</w:t>
      </w:r>
    </w:p>
    <w:p>
      <w:r>
        <w:t xml:space="preserve">The underwriting conclusion supports the current valuation so long as NOI and occupancy remain within the underwritten range.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/Relationships>
</file>