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Foundry Logistics Center Underwriting Memo</w:t>
      </w:r>
    </w:p>
    <w:p>
      <w:r>
        <w:t xml:space="preserve">Foundry Logistics Center is categorized as industrial in Columbus, OH.</w:t>
      </w:r>
    </w:p>
    <w:p>
      <w:r>
        <w:t xml:space="preserve">Q1 2026 NOI is $1,260,000, stabilized value is $28,400,000, and debt outstanding is $16,100,000.</w:t>
      </w:r>
    </w:p>
    <w:p>
      <w:r>
        <w:t xml:space="preserve">Current DSCR is 1.86x and WALT is 5.6 years.</w:t>
      </w:r>
    </w:p>
    <w:p>
      <w:r>
        <w:t xml:space="preserve">The underwriting conclusion supports the current valuation so long as NOI and occupancy remain within the underwritten range.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?><Relationships xmlns="http://schemas.openxmlformats.org/package/2006/relationships"></Relationships>
</file>