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2A4A"/>
          <w:sz w:val="52"/>
          <w:szCs w:val="52"/>
        </w:rPr>
        <w:t xml:space="preserve">Winston Portfolio Audit</w:t>
      </w:r>
    </w:p>
    <w:p>
      <w:pPr>
        <w:spacing w:after="100"/>
        <w:jc w:val="center"/>
      </w:pPr>
      <w:r>
        <w:rPr>
          <w:rFonts w:ascii="Arial" w:cs="Arial" w:eastAsia="Arial" w:hAnsi="Arial"/>
          <w:color w:val="2E5090"/>
          <w:sz w:val="28"/>
          <w:szCs w:val="28"/>
        </w:rPr>
        <w:t xml:space="preserve">Meridian Capital Management</w:t>
      </w:r>
    </w:p>
    <w:p>
      <w:pPr>
        <w:spacing w:after="600"/>
        <w:jc w:val="center"/>
      </w:pPr>
      <w:r>
        <w:rPr>
          <w:rFonts w:ascii="Arial" w:cs="Arial" w:eastAsia="Arial" w:hAnsi="Arial"/>
          <w:color w:val="666666"/>
          <w:sz w:val="22"/>
          <w:szCs w:val="22"/>
        </w:rPr>
        <w:t xml:space="preserve">Data Seeding, Reporting, Underwriting &amp; Feature Roadmap</w:t>
      </w:r>
    </w:p>
    <w:p>
      <w:pPr>
        <w:pBdr>
          <w:top w:val="single" w:color="1B2A4A" w:sz="4" w:space="8"/>
        </w:pBdr>
        <w:spacing w:after="200"/>
        <w:jc w:val="center"/>
      </w:pPr>
      <w:r>
        <w:rPr>
          <w:rFonts w:ascii="Arial" w:cs="Arial" w:eastAsia="Arial" w:hAnsi="Arial"/>
          <w:color w:val="888888"/>
          <w:sz w:val="20"/>
          <w:szCs w:val="20"/>
        </w:rPr>
        <w:t xml:space="preserve">Prepared for Paul Malmquist  •  March 14, 2026</w:t>
      </w:r>
    </w:p>
    <w:p>
      <w:r>
        <w:br w:type="page"/>
      </w:r>
    </w:p>
    <w:p>
      <w:pPr>
        <w:pStyle w:val="Heading1"/>
      </w:pPr>
      <w:r>
        <w:t xml:space="preserve">1. Executive Summary</w:t>
      </w:r>
    </w:p>
    <w:p>
      <w:pPr>
        <w:spacing w:after="120"/>
      </w:pPr>
      <w:r>
        <w:rPr>
          <w:rFonts w:ascii="Arial" w:cs="Arial" w:eastAsia="Arial" w:hAnsi="Arial"/>
          <w:sz w:val="22"/>
          <w:szCs w:val="22"/>
        </w:rPr>
        <w:t xml:space="preserve">The Winston platform for Meridian Capital Management has a well-architected schema covering funds, investments, assets, waterfall structures, LP/GP economics, financial statements, and underwriting models. The frontend is functional across fund management, deal pipeline, model building, and waterfall execution.</w:t>
      </w:r>
    </w:p>
    <w:p>
      <w:pPr>
        <w:spacing w:after="120"/>
      </w:pPr>
      <w:r>
        <w:rPr>
          <w:rFonts w:ascii="Arial" w:cs="Arial" w:eastAsia="Arial" w:hAnsi="Arial"/>
          <w:sz w:val="22"/>
          <w:szCs w:val="22"/>
        </w:rPr>
        <w:t xml:space="preserve">However, the data layer is sparsely populated. Only one fund (Institutional Growth Fund VII) is seeded with portfolio data. The institutional economics layer—LP commitments, capital calls, distributions, waterfall definitions, and partner records—is entirely empty. This means the most valuable features (waterfall execution, LP reporting, capital account tracking) cannot be demonstrated or tested against real data.</w:t>
      </w:r>
    </w:p>
    <w:p>
      <w:pPr>
        <w:spacing w:after="120"/>
      </w:pPr>
      <w:r>
        <w:rPr>
          <w:rFonts w:ascii="Arial" w:cs="Arial" w:eastAsia="Arial" w:hAnsi="Arial"/>
          <w:sz w:val="22"/>
          <w:szCs w:val="22"/>
        </w:rPr>
        <w:t xml:space="preserve">This report covers three areas: (1) what data must be seeded to make the portfolio usable, (2) what reporting and analytical features should be prioritized, and (3) what product features beyond reporting would make this a complete institutional REPE operating platform.</w:t>
      </w:r>
    </w:p>
    <w:p>
      <w:r>
        <w:br w:type="page"/>
      </w:r>
    </w:p>
    <w:p>
      <w:pPr>
        <w:pStyle w:val="Heading1"/>
      </w:pPr>
      <w:r>
        <w:t xml:space="preserve">2. Current Data State</w:t>
      </w:r>
    </w:p>
    <w:p>
      <w:pPr>
        <w:pStyle w:val="Heading2"/>
      </w:pPr>
      <w:r>
        <w:t xml:space="preserve">2.1 What Is Seeded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200"/>
        <w:gridCol w:w="39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Data Element</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Count</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3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Funds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1 (IGF-VII)</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color w:val="155724"/>
                <w:sz w:val="20"/>
                <w:szCs w:val="20"/>
              </w:rPr>
              <w:t xml:space="preserve">SEEDED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Institutional Growth Fund VII under Meridian Capital</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Pipeline Deals</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color w:val="155724"/>
                <w:sz w:val="20"/>
                <w:szCs w:val="20"/>
              </w:rPr>
              <w:t xml:space="preserve">SEEDED</w:t>
            </w:r>
          </w:p>
        </w:tc>
        <w:tc>
          <w:tcPr>
            <w:tcW w:type="dxa" w:w="3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Cherry Creek, Lakewood, Desert Ridge, Riverwalk, Peachtree, Sonoran, Highland, Westshore + 2 more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Sector Assets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5</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color w:val="155724"/>
                <w:sz w:val="20"/>
                <w:szCs w:val="20"/>
              </w:rPr>
              <w:t xml:space="preserve">SEEDED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Parkview (MF), Heritage (Senior), Campus Edge (Student), Meridian Medical (MOB), Gateway (Industrial)</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Quarter-State Data</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20 rows</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color w:val="155724"/>
                <w:sz w:val="20"/>
                <w:szCs w:val="20"/>
              </w:rPr>
              <w:t xml:space="preserve">SEEDED</w:t>
            </w:r>
          </w:p>
        </w:tc>
        <w:tc>
          <w:tcPr>
            <w:tcW w:type="dxa" w:w="3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4 quarters (2025Q2–2026Q1) per asset: NOI, revenue, opex, occupancy, valuation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Statement Line Defs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35+ lines</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color w:val="155724"/>
                <w:sz w:val="20"/>
                <w:szCs w:val="20"/>
              </w:rPr>
              <w:t xml:space="preserve">SEEDED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IS, CF, BS, KPI line codes with grouping, formatting, sign convention</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Report Templates</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color w:val="155724"/>
                <w:sz w:val="20"/>
                <w:szCs w:val="20"/>
              </w:rPr>
              <w:t xml:space="preserve">SEEDED</w:t>
            </w:r>
          </w:p>
        </w:tc>
        <w:tc>
          <w:tcPr>
            <w:tcW w:type="dxa" w:w="3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asset_operating, investment_summary, fund_quarterly, variance_report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Deal Geo Data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10 deals</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color w:val="155724"/>
                <w:sz w:val="20"/>
                <w:szCs w:val="20"/>
              </w:rPr>
              <w:t xml:space="preserve">SEEDED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Lat/lng, market, MSA, state for pipeline deals</w:t>
            </w:r>
          </w:p>
        </w:tc>
      </w:tr>
    </w:tbl>
    <w:p>
      <w:pPr>
        <w:pStyle w:val="Heading2"/>
      </w:pPr>
      <w:r>
        <w:t xml:space="preserve">2.2 What Is Empty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Data Element</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5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Impact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LP/GP Partners</w:t>
            </w:r>
          </w:p>
        </w:tc>
        <w:tc>
          <w:tcPr>
            <w:tcW w:type="dxa" w:w="12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pPr>
              <w:jc w:val="center"/>
            </w:pPr>
            <w:r>
              <w:rPr>
                <w:rFonts w:ascii="Arial" w:cs="Arial" w:eastAsia="Arial" w:hAnsi="Arial"/>
                <w:b/>
                <w:bCs/>
                <w:color w:val="721C24"/>
                <w:sz w:val="20"/>
                <w:szCs w:val="20"/>
              </w:rPr>
              <w:t xml:space="preserve">EMPTY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No LP reporting, no capital account tracking, no investor letters</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Partner Commitments</w:t>
            </w:r>
          </w:p>
        </w:tc>
        <w:tc>
          <w:tcPr>
            <w:tcW w:type="dxa" w:w="12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pPr>
              <w:jc w:val="center"/>
            </w:pPr>
            <w:r>
              <w:rPr>
                <w:rFonts w:ascii="Arial" w:cs="Arial" w:eastAsia="Arial" w:hAnsi="Arial"/>
                <w:b/>
                <w:bCs/>
                <w:color w:val="721C24"/>
                <w:sz w:val="20"/>
                <w:szCs w:val="20"/>
              </w:rPr>
              <w:t xml:space="preserve">EMPTY</w:t>
            </w:r>
          </w:p>
        </w:tc>
        <w:tc>
          <w:tcPr>
            <w:tcW w:type="dxa" w:w="5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No committed/contributed/distributed tracking per LP</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Capital Events</w:t>
            </w:r>
          </w:p>
        </w:tc>
        <w:tc>
          <w:tcPr>
            <w:tcW w:type="dxa" w:w="12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pPr>
              <w:jc w:val="center"/>
            </w:pPr>
            <w:r>
              <w:rPr>
                <w:rFonts w:ascii="Arial" w:cs="Arial" w:eastAsia="Arial" w:hAnsi="Arial"/>
                <w:b/>
                <w:bCs/>
                <w:color w:val="721C24"/>
                <w:sz w:val="20"/>
                <w:szCs w:val="20"/>
              </w:rPr>
              <w:t xml:space="preserve">EMPTY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No capital calls, no distributions, no fee calculations</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Capital Ledger</w:t>
            </w:r>
          </w:p>
        </w:tc>
        <w:tc>
          <w:tcPr>
            <w:tcW w:type="dxa" w:w="12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pPr>
              <w:jc w:val="center"/>
            </w:pPr>
            <w:r>
              <w:rPr>
                <w:rFonts w:ascii="Arial" w:cs="Arial" w:eastAsia="Arial" w:hAnsi="Arial"/>
                <w:b/>
                <w:bCs/>
                <w:color w:val="721C24"/>
                <w:sz w:val="20"/>
                <w:szCs w:val="20"/>
              </w:rPr>
              <w:t xml:space="preserve">EMPTY</w:t>
            </w:r>
          </w:p>
        </w:tc>
        <w:tc>
          <w:tcPr>
            <w:tcW w:type="dxa" w:w="5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No append-only capital transaction history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Waterfall Definitions</w:t>
            </w:r>
          </w:p>
        </w:tc>
        <w:tc>
          <w:tcPr>
            <w:tcW w:type="dxa" w:w="12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pPr>
              <w:jc w:val="center"/>
            </w:pPr>
            <w:r>
              <w:rPr>
                <w:rFonts w:ascii="Arial" w:cs="Arial" w:eastAsia="Arial" w:hAnsi="Arial"/>
                <w:b/>
                <w:bCs/>
                <w:color w:val="721C24"/>
                <w:sz w:val="20"/>
                <w:szCs w:val="20"/>
              </w:rPr>
              <w:t xml:space="preserve">EMPTY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Cannot run waterfalls—no tier structure (pref return, catch-up, carry splits)</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Waterfall Tiers</w:t>
            </w:r>
          </w:p>
        </w:tc>
        <w:tc>
          <w:tcPr>
            <w:tcW w:type="dxa" w:w="12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pPr>
              <w:jc w:val="center"/>
            </w:pPr>
            <w:r>
              <w:rPr>
                <w:rFonts w:ascii="Arial" w:cs="Arial" w:eastAsia="Arial" w:hAnsi="Arial"/>
                <w:b/>
                <w:bCs/>
                <w:color w:val="721C24"/>
                <w:sz w:val="20"/>
                <w:szCs w:val="20"/>
              </w:rPr>
              <w:t xml:space="preserve">EMPTY</w:t>
            </w:r>
          </w:p>
        </w:tc>
        <w:tc>
          <w:tcPr>
            <w:tcW w:type="dxa" w:w="5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No hurdle rates, GP/LP splits, or promote thresholds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Waterfall Runs</w:t>
            </w:r>
          </w:p>
        </w:tc>
        <w:tc>
          <w:tcPr>
            <w:tcW w:type="dxa" w:w="12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pPr>
              <w:jc w:val="center"/>
            </w:pPr>
            <w:r>
              <w:rPr>
                <w:rFonts w:ascii="Arial" w:cs="Arial" w:eastAsia="Arial" w:hAnsi="Arial"/>
                <w:b/>
                <w:bCs/>
                <w:color w:val="721C24"/>
                <w:sz w:val="20"/>
                <w:szCs w:val="20"/>
              </w:rPr>
              <w:t xml:space="preserve">EMPTY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No historical waterfall execution results</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Fund Terms</w:t>
            </w:r>
          </w:p>
        </w:tc>
        <w:tc>
          <w:tcPr>
            <w:tcW w:type="dxa" w:w="12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pPr>
              <w:jc w:val="center"/>
            </w:pPr>
            <w:r>
              <w:rPr>
                <w:rFonts w:ascii="Arial" w:cs="Arial" w:eastAsia="Arial" w:hAnsi="Arial"/>
                <w:b/>
                <w:bCs/>
                <w:color w:val="721C24"/>
                <w:sz w:val="20"/>
                <w:szCs w:val="20"/>
              </w:rPr>
              <w:t xml:space="preserve">EMPTY</w:t>
            </w:r>
          </w:p>
        </w:tc>
        <w:tc>
          <w:tcPr>
            <w:tcW w:type="dxa" w:w="5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No management fee rate, fund life, investment period, key person clauses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Entity/Ownership Structure</w:t>
            </w:r>
          </w:p>
        </w:tc>
        <w:tc>
          <w:tcPr>
            <w:tcW w:type="dxa" w:w="12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pPr>
              <w:jc w:val="center"/>
            </w:pPr>
            <w:r>
              <w:rPr>
                <w:rFonts w:ascii="Arial" w:cs="Arial" w:eastAsia="Arial" w:hAnsi="Arial"/>
                <w:b/>
                <w:bCs/>
                <w:color w:val="721C24"/>
                <w:sz w:val="20"/>
                <w:szCs w:val="20"/>
              </w:rPr>
              <w:t xml:space="preserve">EMPTY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No legal entity tree, no ownership edges, no JV structures</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JV Structures</w:t>
            </w:r>
          </w:p>
        </w:tc>
        <w:tc>
          <w:tcPr>
            <w:tcW w:type="dxa" w:w="12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pPr>
              <w:jc w:val="center"/>
            </w:pPr>
            <w:r>
              <w:rPr>
                <w:rFonts w:ascii="Arial" w:cs="Arial" w:eastAsia="Arial" w:hAnsi="Arial"/>
                <w:b/>
                <w:bCs/>
                <w:color w:val="721C24"/>
                <w:sz w:val="20"/>
                <w:szCs w:val="20"/>
              </w:rPr>
              <w:t xml:space="preserve">EMPTY</w:t>
            </w:r>
          </w:p>
        </w:tc>
        <w:tc>
          <w:tcPr>
            <w:tcW w:type="dxa" w:w="5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No co-invest or joint venture partnership records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Document Attachments</w:t>
            </w:r>
          </w:p>
        </w:tc>
        <w:tc>
          <w:tcPr>
            <w:tcW w:type="dxa" w:w="12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pPr>
              <w:jc w:val="center"/>
            </w:pPr>
            <w:r>
              <w:rPr>
                <w:rFonts w:ascii="Arial" w:cs="Arial" w:eastAsia="Arial" w:hAnsi="Arial"/>
                <w:b/>
                <w:bCs/>
                <w:color w:val="721C24"/>
                <w:sz w:val="20"/>
                <w:szCs w:val="20"/>
              </w:rPr>
              <w:t xml:space="preserve">EMPTY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No PPMs, LPAs, appraisals, leases, or closing docs</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GL Accounting Detail</w:t>
            </w:r>
          </w:p>
        </w:tc>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center"/>
            </w:pPr>
            <w:r>
              <w:rPr>
                <w:rFonts w:ascii="Arial" w:cs="Arial" w:eastAsia="Arial" w:hAnsi="Arial"/>
                <w:b/>
                <w:bCs/>
                <w:color w:val="856404"/>
                <w:sz w:val="20"/>
                <w:szCs w:val="20"/>
              </w:rPr>
              <w:t xml:space="preserve">PARTIAL</w:t>
            </w:r>
          </w:p>
        </w:tc>
        <w:tc>
          <w:tcPr>
            <w:tcW w:type="dxa" w:w="5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Only seeded for 5 sector assets; no full chart of accounts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Budget/Proforma</w:t>
            </w:r>
          </w:p>
        </w:tc>
        <w:tc>
          <w:tcPr>
            <w:tcW w:type="dxa" w:w="12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pPr>
              <w:jc w:val="center"/>
            </w:pPr>
            <w:r>
              <w:rPr>
                <w:rFonts w:ascii="Arial" w:cs="Arial" w:eastAsia="Arial" w:hAnsi="Arial"/>
                <w:b/>
                <w:bCs/>
                <w:color w:val="721C24"/>
                <w:sz w:val="20"/>
                <w:szCs w:val="20"/>
              </w:rPr>
              <w:t xml:space="preserve">EMPTY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No budget scenario data for actual-vs-budget variance analysis</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Cascade Multifamily Asset</w:t>
            </w:r>
          </w:p>
        </w:tc>
        <w:tc>
          <w:tcPr>
            <w:tcW w:type="dxa" w:w="12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pPr>
              <w:jc w:val="center"/>
            </w:pPr>
            <w:r>
              <w:rPr>
                <w:rFonts w:ascii="Arial" w:cs="Arial" w:eastAsia="Arial" w:hAnsi="Arial"/>
                <w:b/>
                <w:bCs/>
                <w:color w:val="721C24"/>
                <w:sz w:val="20"/>
                <w:szCs w:val="20"/>
              </w:rPr>
              <w:t xml:space="preserve">EMPTY</w:t>
            </w:r>
          </w:p>
        </w:tc>
        <w:tc>
          <w:tcPr>
            <w:tcW w:type="dxa" w:w="5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Referenced in CLAUDE.md as production seed but not found in any seed file</w:t>
            </w:r>
          </w:p>
        </w:tc>
      </w:tr>
    </w:tbl>
    <w:p>
      <w:r>
        <w:br w:type="page"/>
      </w:r>
    </w:p>
    <w:p>
      <w:pPr>
        <w:pStyle w:val="Heading1"/>
      </w:pPr>
      <w:r>
        <w:t xml:space="preserve">3. Required Seed Data</w:t>
      </w:r>
    </w:p>
    <w:p>
      <w:pPr>
        <w:spacing w:after="120"/>
      </w:pPr>
      <w:r>
        <w:rPr>
          <w:rFonts w:ascii="Arial" w:cs="Arial" w:eastAsia="Arial" w:hAnsi="Arial"/>
          <w:sz w:val="22"/>
          <w:szCs w:val="22"/>
        </w:rPr>
        <w:t xml:space="preserve">The following seed data would make the platform fully demonstrable. Organized by priority—Tier 1 is required for core functionality, Tier 2 enables advanced analytics, Tier 3 supports completeness.</w:t>
      </w:r>
    </w:p>
    <w:p>
      <w:pPr>
        <w:pStyle w:val="Heading2"/>
      </w:pPr>
      <w:r>
        <w:t xml:space="preserve">3.1 Tier 1 — Institutional Economics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Seed Target</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Table(s)</w:t>
            </w:r>
          </w:p>
        </w:tc>
        <w:tc>
          <w:tcPr>
            <w:tcW w:type="dxa" w:w="4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Suggested Data</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LP/GP Partners (6–10)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re_partner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2 GPs (Meridian GP LLC, Meridian Co-Invest), 4–8 LPs (pension fund, endowment, family office, sovereign wealth, insurance company, fund-of-funds)</w:t>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Commitments per LP</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re_partner_commitment</w:t>
            </w:r>
          </w:p>
        </w:tc>
        <w:tc>
          <w:tcPr>
            <w:tcW w:type="dxa" w:w="4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$10–100M committed per LP; total fund commitment $500M–$1B; GP commit 1–2%</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Capital Events (40–60)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repe_capital_event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Capital calls (quarterly), distributions (from exits/refi), management fees, organizational expenses over 8–12 quarters</w:t>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Capital Ledger Entries</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re_capital_ledger_entry</w:t>
            </w:r>
          </w:p>
        </w:tc>
        <w:tc>
          <w:tcPr>
            <w:tcW w:type="dxa" w:w="4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Append-only entries for each capital event: commitment, contribution, distribution, fee, trueup</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Waterfall Definition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re_waterfall_definition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At least 1 American-style and 1 European-style waterfall for IGF-VII</w:t>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Waterfall Tiers (4–5 per def)</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re_waterfall_tier</w:t>
            </w:r>
          </w:p>
        </w:tc>
        <w:tc>
          <w:tcPr>
            <w:tcW w:type="dxa" w:w="4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Standard 4-tier: (1) Return of Capital, (2) 8% Preferred Return, (3) 50% GP Catch-Up, (4) 80/20 LP/GP Split above promote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Fund Terms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repe_fund_term</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Mgmt fee 1.5%, fund life 10yr, investment period 5yr, extension options, key person provisions</w:t>
            </w:r>
          </w:p>
        </w:tc>
      </w:tr>
    </w:tbl>
    <w:p>
      <w:pPr>
        <w:pStyle w:val="Heading2"/>
      </w:pPr>
      <w:r>
        <w:t xml:space="preserve">3.2 Tier 2 — Financial History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Seed Target</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Table(s)</w:t>
            </w:r>
          </w:p>
        </w:tc>
        <w:tc>
          <w:tcPr>
            <w:tcW w:type="dxa" w:w="3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Suggested Data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Budget/Proforma per Asset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re_asset_quarterly_financials (scenario=budget)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8 quarters of budget NOI, revenue, opex for each of the 5 seeded assets so actual-vs-budget charts work</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GL Monthly Detail</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acct_gl_balance_monthly</w:t>
            </w:r>
          </w:p>
        </w:tc>
        <w:tc>
          <w:tcPr>
            <w:tcW w:type="dxa" w:w="3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12–24 months of monthly GL data for 2–3 assets (enough to power P&amp;L and trial balance views)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Historical Waterfall Runs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re_waterfall_run + re_waterfall_run_result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3–4 completed shadow runs across different quarters to populate comparison views</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Second Fund</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repe_fund + associated entities</w:t>
            </w:r>
          </w:p>
        </w:tc>
        <w:tc>
          <w:tcPr>
            <w:tcW w:type="dxa" w:w="3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A second fund (e.g., Meridian Opportunity Fund III) with 3–4 investments to show cross-fund portfolio views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Valuation Assumptions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re_valuation_assumption_set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Cap rate, exit cap, discount rate, growth rates per asset for sensitivity matrix functionality</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Underwriting Models</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re_model + re_model_version</w:t>
            </w:r>
          </w:p>
        </w:tc>
        <w:tc>
          <w:tcPr>
            <w:tcW w:type="dxa" w:w="3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1–2 underwriting models with scenarios (base, downside, upside) and assumption overrides</w:t>
            </w:r>
          </w:p>
        </w:tc>
      </w:tr>
    </w:tbl>
    <w:p>
      <w:pPr>
        <w:pStyle w:val="Heading2"/>
      </w:pPr>
      <w:r>
        <w:t xml:space="preserve">3.3 Tier 3 — Documents &amp; Completeness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Seed Target</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Table(s)</w:t>
            </w:r>
          </w:p>
        </w:tc>
        <w:tc>
          <w:tcPr>
            <w:tcW w:type="dxa" w:w="3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Suggested Data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Fund Documents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app.documents + document_entity_links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Sample PPM, LPA, subscription agreement, side letters (PDF placeholders) linked to IGF-VII</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Asset Documents</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app.documents + document_entity_links</w:t>
            </w:r>
          </w:p>
        </w:tc>
        <w:tc>
          <w:tcPr>
            <w:tcW w:type="dxa" w:w="3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Sample appraisals, environmental reports, rent rolls, leases per asset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Deal Documents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app.documents + document_entity_links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LOIs, IC memos, due diligence checklists per pipeline deal</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Entity/Ownership Graph</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repe_entity + repe_ownership_edge</w:t>
            </w:r>
          </w:p>
        </w:tc>
        <w:tc>
          <w:tcPr>
            <w:tcW w:type="dxa" w:w="3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Legal entity tree: Fund LP → Fund → Deal SPE → Asset PropCo; JV structures for co-invested deals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Cascade Multifamily Asset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repe_asset + repe_property_asset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The production seed asset referenced in CLAUDE.md—needs actual data to match the reference</w:t>
            </w:r>
          </w:p>
        </w:tc>
      </w:tr>
    </w:tbl>
    <w:p>
      <w:r>
        <w:br w:type="page"/>
      </w:r>
    </w:p>
    <w:p>
      <w:pPr>
        <w:pStyle w:val="Heading1"/>
      </w:pPr>
      <w:r>
        <w:t xml:space="preserve">4. Reporting Features</w:t>
      </w:r>
    </w:p>
    <w:p>
      <w:pPr>
        <w:spacing w:after="120"/>
      </w:pPr>
      <w:r>
        <w:rPr>
          <w:rFonts w:ascii="Arial" w:cs="Arial" w:eastAsia="Arial" w:hAnsi="Arial"/>
          <w:sz w:val="22"/>
          <w:szCs w:val="22"/>
        </w:rPr>
        <w:t xml:space="preserve">The reporting framework exists (statement line definitions, report templates, export routes) but most reports can’t render meaningful output without the seed data above. Here’s what I’d want from reporting, ordered by user value.</w:t>
      </w:r>
    </w:p>
    <w:p>
      <w:pPr>
        <w:pStyle w:val="Heading2"/>
      </w:pPr>
      <w:r>
        <w:t xml:space="preserve">4.1 Investor Reporting (Highest Value)</w:t>
      </w:r>
    </w:p>
    <w:p>
      <w:pPr>
        <w:spacing w:after="120"/>
      </w:pPr>
      <w:r>
        <w:rPr>
          <w:rFonts w:ascii="Arial" w:cs="Arial" w:eastAsia="Arial" w:hAnsi="Arial"/>
          <w:sz w:val="22"/>
          <w:szCs w:val="22"/>
        </w:rPr>
        <w:t xml:space="preserve">This is what LPs actually receive. It’s the product’s strongest differentiator if done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Report</w:t>
            </w:r>
          </w:p>
        </w:tc>
        <w:tc>
          <w:tcPr>
            <w:tcW w:type="dxa" w:w="4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Requires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Quarterly LP Letter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Fund performance narrative + KPIs + waterfall summary + capital account statement per LP. PDF-exportable.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Partners, commitments, capital events, waterfall runs, fund metrics</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Capital Account Statement</w:t>
            </w:r>
          </w:p>
        </w:tc>
        <w:tc>
          <w:tcPr>
            <w:tcW w:type="dxa" w:w="4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Per-LP: opening balance, contributions, distributions, management fees, preferred return accrual, unrealized gain/loss, closing NAV. Matches what LPs reconcile against.</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Capital ledger, partner commitments, waterfall allocations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Distribution Notice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Per capital event: amount, source (return of capital vs profit), tax withholding, wire instructions template.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Capital events, waterfall tier allocations</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Fund Performance Summary</w:t>
            </w:r>
          </w:p>
        </w:tc>
        <w:tc>
          <w:tcPr>
            <w:tcW w:type="dxa" w:w="4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Gross/net IRR, TVPI, DPI, RVPI, PME benchmark, vintage year comparison. One-page PDF.</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Fund metrics (mostly seeded), historical quarter-state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Portfolio Composition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Asset-by-asset: NAV, NOI, occupancy, LTV, DSCR, weight in portfolio. Pie charts by sector/geography.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Asset quarter-state (seeded), deal geo data (seeded)</w:t>
            </w:r>
          </w:p>
        </w:tc>
      </w:tr>
    </w:tbl>
    <w:p>
      <w:pPr>
        <w:pStyle w:val="Heading2"/>
      </w:pPr>
      <w:r>
        <w:t xml:space="preserve">4.2 Asset-Level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Report</w:t>
            </w:r>
          </w:p>
        </w:tc>
        <w:tc>
          <w:tcPr>
            <w:tcW w:type="dxa" w:w="4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Requires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Operating Statement (IS + CF)</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Revenue through net cash flow with prior-period and budget comparisons. This is the property manager’s primary report.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GL detail or statement line amounts, budget scenario</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Actual vs Budget Variance</w:t>
            </w:r>
          </w:p>
        </w:tc>
        <w:tc>
          <w:tcPr>
            <w:tcW w:type="dxa" w:w="4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Line-by-line variance with waterfall decomposition of NOI drivers. The CFO’s main review tool.</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Budget proforma data (empty)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Rent Roll Summary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Unit-level: tenant, lease dates, rent, square footage, vacancy status. For multifamily: unit mix breakdown.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Not in schema—needs new table or ingest from property management system</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Debt Summary / DSCR Trend</w:t>
            </w:r>
          </w:p>
        </w:tc>
        <w:tc>
          <w:tcPr>
            <w:tcW w:type="dxa" w:w="4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Per-loan: balance, rate, maturity, IO period, DSCR trend. Covenant compliance tracking.</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Loan data (schema exists at fund level), DSCR_KPI line code (defined)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Valuation Snapshot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Cap rate, DCF, blended valuation with sensitivity matrix (cap rate ± 25bps, NOI ± 5%). Already has backend engine.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Valuation assumptions (empty), asset quarter-state (seeded)</w:t>
            </w:r>
          </w:p>
        </w:tc>
      </w:tr>
    </w:tbl>
    <w:p>
      <w:pPr>
        <w:pStyle w:val="Heading2"/>
      </w:pPr>
      <w:r>
        <w:t xml:space="preserve">4.3 Fund-Level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Report</w:t>
            </w:r>
          </w:p>
        </w:tc>
        <w:tc>
          <w:tcPr>
            <w:tcW w:type="dxa" w:w="4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Requires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NAV Bridge / Waterfall Chart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Quarter-over-quarter NAV reconciliation: opening NAV + contributions + appreciation + income − distributions − fees = closing NAV</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Capital events, quarter-state history</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Waterfall Distribution Analysis</w:t>
            </w:r>
          </w:p>
        </w:tc>
        <w:tc>
          <w:tcPr>
            <w:tcW w:type="dxa" w:w="4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Tier-by-tier allocation: ROC → Pref → Catch-up → Split, with GP carry tracking across vintages</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Waterfall definitions and tiers (empty)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Scenario Comparison Matrix</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Side-by-side: base vs stress vs upside across IRR, TVPI, NAV. Already supported by model engine.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Model scenarios (partially functional)</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Gross-to-Net Bridge</w:t>
            </w:r>
          </w:p>
        </w:tc>
        <w:tc>
          <w:tcPr>
            <w:tcW w:type="dxa" w:w="4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Gross returns → management fees → fund expenses → carry → net returns. Shows fee drag.</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Fund terms (empty), capital events (empty)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Concentration Analysis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Portfolio exposure by: sector, geography, vintage, leverage band, asset size. Risk management view.</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Asset metadata (mostly seeded), geo data (seeded)</w:t>
            </w:r>
          </w:p>
        </w:tc>
      </w:tr>
    </w:tbl>
    <w:p>
      <w:r>
        <w:br w:type="page"/>
      </w:r>
    </w:p>
    <w:p>
      <w:pPr>
        <w:pStyle w:val="Heading1"/>
      </w:pPr>
      <w:r>
        <w:t xml:space="preserve">5. Features Beyond Reporting</w:t>
      </w:r>
    </w:p>
    <w:p>
      <w:pPr>
        <w:spacing w:after="120"/>
      </w:pPr>
      <w:r>
        <w:rPr>
          <w:rFonts w:ascii="Arial" w:cs="Arial" w:eastAsia="Arial" w:hAnsi="Arial"/>
          <w:sz w:val="22"/>
          <w:szCs w:val="22"/>
        </w:rPr>
        <w:t xml:space="preserve">Reporting is necessary but insufficient. Here’s what turns Winston from a report generator into an operating platform, organized by workflow stage.</w:t>
      </w:r>
    </w:p>
    <w:p>
      <w:pPr>
        <w:pStyle w:val="Heading2"/>
      </w:pPr>
      <w:r>
        <w:t xml:space="preserve">5.1 Underwriting &amp; Acquisition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4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Current State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Underwriting Model Builder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Multi-tab proforma: revenue assumptions, expense budget, capital plan, debt structure, exit assumptions. Calculates unlevered/levered IRR, equity multiple, cash-on-cash.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Model engine exists (scope, assumptions, results tabs functional). Missing: structured proforma input, debt modeling, exit waterfall.</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Deal Scoring / IC Memo Generator</w:t>
            </w:r>
          </w:p>
        </w:tc>
        <w:tc>
          <w:tcPr>
            <w:tcW w:type="dxa" w:w="4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Standardized scoring rubric (market, basis, sponsor, structure, risk). Auto-generates IC memo from deal data + scoring. PDF export for investment committee.</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Pipeline radar exists with deal_geo_score MCP tool. No IC memo template or scoring rubric.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Comparable Transaction Database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Store and query comp sales: price/unit, cap rate, vintage, market. Auto-pull from deal closings.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Not in schema. Would need new table + ingest pipeline.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Sensitivity &amp; Monte Carlo</w:t>
            </w:r>
          </w:p>
        </w:tc>
        <w:tc>
          <w:tcPr>
            <w:tcW w:type="dxa" w:w="4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Already has sensitivity_matrix and monte_carlo_waterfall MCP tools. Need frontend integration: interactive sliders for cap rate, NOI, hold period, with live IRR/equity multiple recalc.</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Backend engines complete (17 finance MCP tools). Frontend: MonteCarloTab exists but disconnected from waterfall. Sensitivity heatmap stubbed.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Document Ingestion / OCR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Upload rent rolls, operating statements, appraisals → extract structured data → auto-populate underwriting inputs. Biggest manual time-saver.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Document upload exists. No extraction/OCR pipeline. RAG search works on text but doesn’t extract structured data.</w:t>
            </w:r>
          </w:p>
        </w:tc>
      </w:tr>
    </w:tbl>
    <w:p>
      <w:pPr>
        <w:pStyle w:val="Heading2"/>
      </w:pPr>
      <w:r>
        <w:t xml:space="preserve">5.2 Asset Management &amp;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4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Current State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Budget Builder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Annual operating budget by asset: line-by-line revenue and expense assumptions. Lock budgets, track revisions. This is the “actual vs budget” source.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Schema supports budget scenario. No budget input UI or workflow.</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Construction / Development Tracker</w:t>
            </w:r>
          </w:p>
        </w:tc>
        <w:tc>
          <w:tcPr>
            <w:tcW w:type="dxa" w:w="4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Draw schedule, cost-to-complete, budget vs actual by category, % complete. Critical for value-add and development deals.</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construction_forecast_engine exists in backend. Not wired to MCP or UI.</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Lease Management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Lease terms, expirations, renewal options, rent escalations, tenant creditworthiness. Rollover risk analysis.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Not in schema. Needs new tables. Most REPE platforms treat this as critical.</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Capital Expenditure Tracker</w:t>
            </w:r>
          </w:p>
        </w:tc>
        <w:tc>
          <w:tcPr>
            <w:tcW w:type="dxa" w:w="4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CapEx by category (unit turns, deferred maintenance, value-add), budgeted vs actual, ROI tracking on completed projects.</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CAPEX line code exists in statements. No project-level CapEx tracking.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Insurance &amp; Tax Calendar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Policy renewals, coverage limits, property tax appeals, deadlines. Compliance-driven reminders.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Not in schema. Lower priority but high operational value.</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Covenant Compliance Dashboard</w:t>
            </w:r>
          </w:p>
        </w:tc>
        <w:tc>
          <w:tcPr>
            <w:tcW w:type="dxa" w:w="4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LTV, DSCR, debt yield against loan covenants. Early warning system for breaches.</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DSCR_KPI and LTV defined. Loan schema exists. No covenant threshold tracking or alerting.</w:t>
            </w:r>
          </w:p>
        </w:tc>
      </w:tr>
    </w:tbl>
    <w:p>
      <w:pPr>
        <w:pStyle w:val="Heading2"/>
      </w:pPr>
      <w:r>
        <w:t xml:space="preserve">5.3 Fund Administration &amp; LP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4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Current State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Capital Call Workflow</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Generate capital call notice → track funding → reconcile receipts → update capital accounts. Multi-step workflow with approvals.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capital_call_impact MCP tool exists (read-only modeling). No workflow for actual capital call issuance.</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Distribution Workflow</w:t>
            </w:r>
          </w:p>
        </w:tc>
        <w:tc>
          <w:tcPr>
            <w:tcW w:type="dxa" w:w="4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Calculate distributable amount → run waterfall → allocate per LP → generate notices → track payments.</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Waterfall engine complete. No distribution notice generation or payment tracking.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LP Portal / Data Room</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Self-service: LP can view their capital account, download quarterly letters, access fund documents. Reduces IR workload.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Document management exists. No LP-scoped access or self-service portal.</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K-1 / Tax Reporting Support</w:t>
            </w:r>
          </w:p>
        </w:tc>
        <w:tc>
          <w:tcPr>
            <w:tcW w:type="dxa" w:w="4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Track tax lots, UBTI exposure, state nexus, withholding obligations per LP. Generate K-1 data packages.</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Not in schema. Complex but high-value for tax season.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Fee Calculation Engine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Management fees (committed vs invested capital basis), fund expenses, organizational costs, fee offsets. Auto-calculate quarterly.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Fund terms schema supports fee rates. No fee calculation engine or accounting entries.</w:t>
            </w:r>
          </w:p>
        </w:tc>
      </w:tr>
    </w:tbl>
    <w:p>
      <w:pPr>
        <w:pStyle w:val="Heading2"/>
      </w:pPr>
      <w:r>
        <w:t xml:space="preserve">5.4 Portfolio Intelligence &amp;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4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Current State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Market Data Integration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Cap rate benchmarks, rent comps, employment data, population trends by MSA. Powers the “market dashboard” concept.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Geo intelligence panel exists with DealGeoMap. No live market data feed.</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Portfolio Stress Testing</w:t>
            </w:r>
          </w:p>
        </w:tc>
        <w:tc>
          <w:tcPr>
            <w:tcW w:type="dxa" w:w="4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Scenario engine: apply macro shocks (rate hike, recession, cap rate expansion) across all assets simultaneously.</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stress_cap_rate and sensitivity_matrix tools exist per-fund. No portfolio-wide stress cascade.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Liquidity Planning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Project future capital calls, distributions, and NAV across all funds. LP-level cash flow forecasting.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Not implemented. Requires capital event projections + waterfall forward modeling.</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ESG / Sustainability Tracking</w:t>
            </w:r>
          </w:p>
        </w:tc>
        <w:tc>
          <w:tcPr>
            <w:tcW w:type="dxa" w:w="4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Energy consumption, carbon footprint, GRESB scores, green certifications per asset. Increasingly required by institutional LPs.</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20"/>
                <w:szCs w:val="20"/>
              </w:rPr>
              <w:t xml:space="preserve">Sustainability page exists in nav. Content is placeholder.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Benchmark Comparison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Compare fund returns to NCREIF ODCE, Cambridge REPE, Preqin benchmarks. PME calculation.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Not implemented. Would need benchmark data import + IRR-based comparison logic.</w:t>
            </w:r>
          </w:p>
        </w:tc>
      </w:tr>
    </w:tbl>
    <w:p>
      <w:r>
        <w:br w:type="page"/>
      </w:r>
    </w:p>
    <w:p>
      <w:pPr>
        <w:pStyle w:val="Heading1"/>
      </w:pPr>
      <w:r>
        <w:t xml:space="preserve">6. Priority Recommendations</w:t>
      </w:r>
    </w:p>
    <w:p>
      <w:pPr>
        <w:pStyle w:val="Heading2"/>
      </w:pPr>
      <w:r>
        <w:t xml:space="preserve">6.1 Immediate (Seed + Unblock)</w:t>
      </w:r>
    </w:p>
    <w:p>
      <w:pPr>
        <w:spacing w:after="120"/>
      </w:pPr>
      <w:r>
        <w:rPr>
          <w:rFonts w:ascii="Arial" w:cs="Arial" w:eastAsia="Arial" w:hAnsi="Arial"/>
          <w:sz w:val="22"/>
          <w:szCs w:val="22"/>
        </w:rPr>
        <w:t xml:space="preserve">1. Seed LP/GP partners + commitments + capital events for IGF-VII. This unblocks waterfall execution, LP reporting, and capital account tracking—the three most valuable features.</w:t>
      </w:r>
    </w:p>
    <w:p>
      <w:pPr>
        <w:spacing w:after="120"/>
      </w:pPr>
      <w:r>
        <w:rPr>
          <w:rFonts w:ascii="Arial" w:cs="Arial" w:eastAsia="Arial" w:hAnsi="Arial"/>
          <w:sz w:val="22"/>
          <w:szCs w:val="22"/>
        </w:rPr>
        <w:t xml:space="preserve">2. Seed waterfall definitions + tiers. A standard 4-tier American waterfall (ROC → 8% pref → 50% catch-up → 80/20 split) would make the existing waterfall engine demonstrable.</w:t>
      </w:r>
    </w:p>
    <w:p>
      <w:pPr>
        <w:spacing w:after="120"/>
      </w:pPr>
      <w:r>
        <w:rPr>
          <w:rFonts w:ascii="Arial" w:cs="Arial" w:eastAsia="Arial" w:hAnsi="Arial"/>
          <w:sz w:val="22"/>
          <w:szCs w:val="22"/>
        </w:rPr>
        <w:t xml:space="preserve">3. Seed budget scenario data for the 5 existing assets. This unblocks actual-vs-budget variance reporting, the single most-requested operational report.</w:t>
      </w:r>
    </w:p>
    <w:p>
      <w:pPr>
        <w:spacing w:after="120"/>
      </w:pPr>
      <w:r>
        <w:rPr>
          <w:rFonts w:ascii="Arial" w:cs="Arial" w:eastAsia="Arial" w:hAnsi="Arial"/>
          <w:sz w:val="22"/>
          <w:szCs w:val="22"/>
        </w:rPr>
        <w:t xml:space="preserve">4. Create the Cascade Multifamily asset that CLAUDE.md references. It’s the production seed ID but the actual data doesn’t exist.</w:t>
      </w:r>
    </w:p>
    <w:p>
      <w:pPr>
        <w:pStyle w:val="Heading2"/>
      </w:pPr>
      <w:r>
        <w:t xml:space="preserve">6.2 Near-Term (Core Product Gaps)</w:t>
      </w:r>
    </w:p>
    <w:p>
      <w:pPr>
        <w:spacing w:after="120"/>
      </w:pPr>
      <w:r>
        <w:rPr>
          <w:rFonts w:ascii="Arial" w:cs="Arial" w:eastAsia="Arial" w:hAnsi="Arial"/>
          <w:sz w:val="22"/>
          <w:szCs w:val="22"/>
        </w:rPr>
        <w:t xml:space="preserve">5. Build the Capital Account Statement report. This is what LPs reconcile against and is the minimum viable investor reporting product.</w:t>
      </w:r>
    </w:p>
    <w:p>
      <w:pPr>
        <w:spacing w:after="120"/>
      </w:pPr>
      <w:r>
        <w:rPr>
          <w:rFonts w:ascii="Arial" w:cs="Arial" w:eastAsia="Arial" w:hAnsi="Arial"/>
          <w:sz w:val="22"/>
          <w:szCs w:val="22"/>
        </w:rPr>
        <w:t xml:space="preserve">6. Connect the construction_forecast_engine and capital_account_engine to MCP tools and the AI chat. They’re built but orphaned.</w:t>
      </w:r>
    </w:p>
    <w:p>
      <w:pPr>
        <w:spacing w:after="120"/>
      </w:pPr>
      <w:r>
        <w:rPr>
          <w:rFonts w:ascii="Arial" w:cs="Arial" w:eastAsia="Arial" w:hAnsi="Arial"/>
          <w:sz w:val="22"/>
          <w:szCs w:val="22"/>
        </w:rPr>
        <w:t xml:space="preserve">7. Wire the Monte Carlo simulation to the waterfall engine. The frontend component exists (MonteCarloTab) but runs client-side with random data, not actual fund economics.</w:t>
      </w:r>
    </w:p>
    <w:p>
      <w:pPr>
        <w:spacing w:after="120"/>
      </w:pPr>
      <w:r>
        <w:rPr>
          <w:rFonts w:ascii="Arial" w:cs="Arial" w:eastAsia="Arial" w:hAnsi="Arial"/>
          <w:sz w:val="22"/>
          <w:szCs w:val="22"/>
        </w:rPr>
        <w:t xml:space="preserve">8. Build a budget input workflow. Without budgets, half the reporting templates render empty.</w:t>
      </w:r>
    </w:p>
    <w:p>
      <w:pPr>
        <w:pStyle w:val="Heading2"/>
      </w:pPr>
      <w:r>
        <w:t xml:space="preserve">6.3 Medium-Term (Platform Differentiation)</w:t>
      </w:r>
    </w:p>
    <w:p>
      <w:pPr>
        <w:spacing w:after="120"/>
      </w:pPr>
      <w:r>
        <w:rPr>
          <w:rFonts w:ascii="Arial" w:cs="Arial" w:eastAsia="Arial" w:hAnsi="Arial"/>
          <w:sz w:val="22"/>
          <w:szCs w:val="22"/>
        </w:rPr>
        <w:t xml:space="preserve">9. Lease management tables + rent roll import. Every asset management conversation starts with “show me the rent roll” and the platform can’t answer it.</w:t>
      </w:r>
    </w:p>
    <w:p>
      <w:pPr>
        <w:spacing w:after="120"/>
      </w:pPr>
      <w:r>
        <w:rPr>
          <w:rFonts w:ascii="Arial" w:cs="Arial" w:eastAsia="Arial" w:hAnsi="Arial"/>
          <w:sz w:val="22"/>
          <w:szCs w:val="22"/>
        </w:rPr>
        <w:t xml:space="preserve">10. Document OCR pipeline. The ability to upload a broker’s operating statement and auto-populate underwriting inputs would be the single biggest workflow accelerator.</w:t>
      </w:r>
    </w:p>
    <w:p>
      <w:pPr>
        <w:spacing w:after="120"/>
      </w:pPr>
      <w:r>
        <w:rPr>
          <w:rFonts w:ascii="Arial" w:cs="Arial" w:eastAsia="Arial" w:hAnsi="Arial"/>
          <w:sz w:val="22"/>
          <w:szCs w:val="22"/>
        </w:rPr>
        <w:t xml:space="preserve">11. LP portal with self-service access. Reduces IR team workload and is a competitive expectation for any institutional fund.</w:t>
      </w:r>
    </w:p>
    <w:p>
      <w:pPr>
        <w:spacing w:after="120"/>
      </w:pPr>
      <w:r>
        <w:rPr>
          <w:rFonts w:ascii="Arial" w:cs="Arial" w:eastAsia="Arial" w:hAnsi="Arial"/>
          <w:sz w:val="22"/>
          <w:szCs w:val="22"/>
        </w:rPr>
        <w:t xml:space="preserve">12. Capital call + distribution workflows. The modeling tools exist; the actual issuance, tracking, and reconciliation workflows don’t.</w:t>
      </w:r>
    </w:p>
    <w:p>
      <w:pPr>
        <w:pStyle w:val="Heading2"/>
      </w:pPr>
      <w:r>
        <w:t xml:space="preserve">6.4 Long-Term (Intelligence Layer)</w:t>
      </w:r>
    </w:p>
    <w:p>
      <w:pPr>
        <w:spacing w:after="120"/>
      </w:pPr>
      <w:r>
        <w:rPr>
          <w:rFonts w:ascii="Arial" w:cs="Arial" w:eastAsia="Arial" w:hAnsi="Arial"/>
          <w:sz w:val="22"/>
          <w:szCs w:val="22"/>
        </w:rPr>
        <w:t xml:space="preserve">13. Market data feeds (cap rates, rents, demographics by MSA). Powers the geo intelligence panel with real data instead of static seeds.</w:t>
      </w:r>
    </w:p>
    <w:p>
      <w:pPr>
        <w:spacing w:after="120"/>
      </w:pPr>
      <w:r>
        <w:rPr>
          <w:rFonts w:ascii="Arial" w:cs="Arial" w:eastAsia="Arial" w:hAnsi="Arial"/>
          <w:sz w:val="22"/>
          <w:szCs w:val="22"/>
        </w:rPr>
        <w:t xml:space="preserve">14. Portfolio-wide stress testing across all funds simultaneously.</w:t>
      </w:r>
    </w:p>
    <w:p>
      <w:pPr>
        <w:spacing w:after="120"/>
      </w:pPr>
      <w:r>
        <w:rPr>
          <w:rFonts w:ascii="Arial" w:cs="Arial" w:eastAsia="Arial" w:hAnsi="Arial"/>
          <w:sz w:val="22"/>
          <w:szCs w:val="22"/>
        </w:rPr>
        <w:t xml:space="preserve">15. Benchmark integration (NCREIF, Cambridge) for institutional reporting.</w:t>
      </w:r>
    </w:p>
    <w:p>
      <w:pPr>
        <w:spacing w:after="120"/>
      </w:pPr>
      <w:r>
        <w:rPr>
          <w:rFonts w:ascii="Arial" w:cs="Arial" w:eastAsia="Arial" w:hAnsi="Arial"/>
          <w:sz w:val="22"/>
          <w:szCs w:val="22"/>
        </w:rPr>
        <w:t xml:space="preserve">16. K-1 / tax reporting support for tax season.</w:t>
      </w:r>
    </w:p>
    <w:p>
      <w:r>
        <w:br w:type="page"/>
      </w:r>
    </w:p>
    <w:p>
      <w:pPr>
        <w:pStyle w:val="Heading1"/>
      </w:pPr>
      <w:r>
        <w:t xml:space="preserve">7. UX Observations from Code Audit</w:t>
      </w:r>
    </w:p>
    <w:p>
      <w:pPr>
        <w:pStyle w:val="Heading2"/>
      </w:pPr>
      <w:r>
        <w:t xml:space="preserve">7.1 What Works Well</w:t>
      </w:r>
    </w:p>
    <w:p>
      <w:pPr>
        <w:spacing w:after="120"/>
      </w:pPr>
      <w:r>
        <w:rPr>
          <w:rFonts w:ascii="Arial" w:cs="Arial" w:eastAsia="Arial" w:hAnsi="Arial"/>
          <w:sz w:val="22"/>
          <w:szCs w:val="22"/>
        </w:rPr>
        <w:t xml:space="preserve">The fund creation wizard is clean—three steps, sensible defaults, proper validation. The investment/deal creation modal is functional. The model builder (scope + assumptions + results) is genuinely useful for scenario analysis. The AI assistant has 83 MCP tools registered and handles 16 intent families through a fast-path engine with sub-2-second latency. The pipeline deal cards with geo scoring are a differentiator.</w:t>
      </w:r>
    </w:p>
    <w:p>
      <w:pPr>
        <w:pStyle w:val="Heading2"/>
      </w:pPr>
      <w:r>
        <w:t xml:space="preserve">7.2 What Needs Work</w:t>
      </w:r>
    </w:p>
    <w:p>
      <w:pPr>
        <w:spacing w:after="120"/>
      </w:pPr>
      <w:r>
        <w:rPr>
          <w:rFonts w:ascii="Arial" w:cs="Arial" w:eastAsia="Arial" w:hAnsi="Arial"/>
          <w:sz w:val="22"/>
          <w:szCs w:val="22"/>
        </w:rPr>
        <w:t xml:space="preserve">The Fund Capital tab is a placeholder grid with no drill-down—this should be the most data-rich tab on the page. The waterfall runner page shows raw JSON output, which is a developer tool not a product feature. The Fund Impact tab in model detail explicitly says the waterfall engine isn’t connected. Investment detail redirects to a Lab-era page outside the main app shell. The dashboard generator was the right idea but the wrong execution—the chat workspace replacement is correct.</w:t>
      </w:r>
    </w:p>
    <w:p>
      <w:pPr>
        <w:pStyle w:val="Heading2"/>
      </w:pPr>
      <w:r>
        <w:t xml:space="preserve">7.3 Architecture Strengths</w:t>
      </w:r>
    </w:p>
    <w:p>
      <w:pPr>
        <w:spacing w:after="120"/>
      </w:pPr>
      <w:r>
        <w:rPr>
          <w:rFonts w:ascii="Arial" w:cs="Arial" w:eastAsia="Arial" w:hAnsi="Arial"/>
          <w:sz w:val="22"/>
          <w:szCs w:val="22"/>
        </w:rPr>
        <w:t xml:space="preserve">The schema is genuinely well-designed for institutional REPE. The separation of statement line definitions from actual amounts is correct—it means adding new metrics doesn’t require schema changes. The append-only capital ledger pattern is the right choice for audit trails. The MCP tool registry with handler + Pydantic input model + audit policy is production-grade. The SSE streaming with 12 event types and structured result cards is a solid foundation for the chat workspace.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6" w:space="4"/>
      </w:pBdr>
      <w:tabs>
        <w:tab w:val="right" w:pos="9026"/>
      </w:tabs>
    </w:pPr>
    <w:r>
      <w:rPr>
        <w:rFonts w:ascii="Arial" w:cs="Arial" w:eastAsia="Arial" w:hAnsi="Arial"/>
        <w:color w:val="888888"/>
        <w:sz w:val="16"/>
        <w:szCs w:val="16"/>
      </w:rPr>
      <w:t xml:space="preserve">Winston Platform Audit</w:t>
    </w:r>
    <w:r>
      <w:rPr>
        <w:rFonts w:ascii="Arial" w:cs="Arial" w:eastAsia="Arial" w:hAnsi="Arial"/>
        <w:color w:val="888888"/>
        <w:sz w:val="16"/>
        <w:szCs w:val="16"/>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09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6E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2026-03-15T00:56:29.036Z</dcterms:created>
  <dcterms:modified xsi:type="dcterms:W3CDTF">2026-03-15T00:56:29.037Z</dcterms:modified>
</cp:coreProperties>
</file>

<file path=docProps/custom.xml><?xml version="1.0" encoding="utf-8"?>
<Properties xmlns="http://schemas.openxmlformats.org/officeDocument/2006/custom-properties" xmlns:vt="http://schemas.openxmlformats.org/officeDocument/2006/docPropsVTypes"/>
</file>