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Arial" w:cs="Arial" w:eastAsia="Arial" w:hAnsi="Arial"/>
          <w:b/>
          <w:bCs/>
          <w:color w:val="616161"/>
          <w:spacing w:val="200"/>
          <w:sz w:val="20"/>
          <w:szCs w:val="20"/>
        </w:rPr>
        <w:t xml:space="preserve">WINSTON PLATFORM</w:t>
      </w:r>
    </w:p>
    <w:p>
      <w:pPr>
        <w:spacing w:after="0" w:before="200"/>
      </w:pPr>
    </w:p>
    <w:p>
      <w:pPr>
        <w:jc w:val="center"/>
      </w:pPr>
      <w:r>
        <w:rPr>
          <w:rFonts w:ascii="Arial" w:cs="Arial" w:eastAsia="Arial" w:hAnsi="Arial"/>
          <w:b/>
          <w:bCs/>
          <w:color w:val="0D3B66"/>
          <w:sz w:val="56"/>
          <w:szCs w:val="56"/>
        </w:rPr>
        <w:t xml:space="preserve">QA AUDIT REPORT</w:t>
      </w:r>
    </w:p>
    <w:p>
      <w:pPr>
        <w:spacing w:after="0" w:before="120"/>
      </w:pPr>
    </w:p>
    <w:p>
      <w:pPr>
        <w:pBdr>
          <w:bottom w:val="single" w:color="1565C0" w:sz="12"/>
        </w:pBdr>
        <w:jc w:val="center"/>
      </w:pPr>
      <w:r>
        <w:rPr>
          <w:rFonts w:ascii="Arial" w:cs="Arial" w:eastAsia="Arial" w:hAnsi="Arial"/>
          <w:i/>
          <w:iCs/>
          <w:color w:val="1565C0"/>
          <w:sz w:val="28"/>
          <w:szCs w:val="28"/>
        </w:rPr>
        <w:t xml:space="preserve">One-Pass Functional &amp; UX Evaluation</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DBDBD" w:sz="1"/>
              <w:left w:val="single" w:color="BDBDBD" w:sz="1"/>
              <w:bottom w:val="single" w:color="BDBDBD" w:sz="1"/>
              <w:right w:val="single" w:color="BDBDBD" w:sz="1"/>
            </w:tcBorders>
            <w:shd w:fill="0D3B66" w:val="clear"/>
            <w:tcMar>
              <w:top w:type="dxa" w:w="300"/>
              <w:left w:type="dxa" w:w="400"/>
              <w:bottom w:type="dxa" w:w="300"/>
              <w:right w:type="dxa" w:w="400"/>
            </w:tcMar>
          </w:tcPr>
          <w:p>
            <w:pPr>
              <w:jc w:val="center"/>
            </w:pPr>
            <w:r>
              <w:rPr>
                <w:rFonts w:ascii="Arial" w:cs="Arial" w:eastAsia="Arial" w:hAnsi="Arial"/>
                <w:b/>
                <w:bCs/>
                <w:color w:val="A0C4E8"/>
                <w:sz w:val="18"/>
                <w:szCs w:val="18"/>
              </w:rPr>
              <w:t xml:space="preserve">REVIEWER</w:t>
            </w:r>
          </w:p>
          <w:p>
            <w:pPr>
              <w:spacing w:after="0" w:before="60"/>
            </w:pPr>
          </w:p>
          <w:p>
            <w:pPr>
              <w:jc w:val="center"/>
            </w:pPr>
            <w:r>
              <w:rPr>
                <w:rFonts w:ascii="Arial" w:cs="Arial" w:eastAsia="Arial" w:hAnsi="Arial"/>
                <w:b/>
                <w:bCs/>
                <w:color w:val="FFFFFF"/>
                <w:sz w:val="36"/>
                <w:szCs w:val="36"/>
              </w:rPr>
              <w:t xml:space="preserve">Morgan Ruiz</w:t>
            </w:r>
          </w:p>
          <w:p>
            <w:pPr>
              <w:spacing w:after="0" w:before="40"/>
            </w:pPr>
          </w:p>
          <w:p>
            <w:pPr>
              <w:jc w:val="center"/>
            </w:pPr>
            <w:r>
              <w:rPr>
                <w:rFonts w:ascii="Arial" w:cs="Arial" w:eastAsia="Arial" w:hAnsi="Arial"/>
                <w:color w:val="A0C4E8"/>
                <w:sz w:val="20"/>
                <w:szCs w:val="20"/>
              </w:rPr>
              <w:t xml:space="preserve">PE Ops Data Architect &amp; Program Controls Director</w:t>
            </w:r>
          </w:p>
          <w:p>
            <w:pPr>
              <w:spacing w:after="0" w:before="40"/>
            </w:pPr>
          </w:p>
          <w:p>
            <w:pPr>
              <w:jc w:val="center"/>
            </w:pPr>
            <w:r>
              <w:rPr>
                <w:rFonts w:ascii="Arial" w:cs="Arial" w:eastAsia="Arial" w:hAnsi="Arial"/>
                <w:i/>
                <w:iCs/>
                <w:color w:val="7EB4D6"/>
                <w:sz w:val="18"/>
                <w:szCs w:val="18"/>
              </w:rPr>
              <w:t xml:space="preserve">15 Years PE/CRE Operations Experience</w:t>
            </w:r>
          </w:p>
        </w:tc>
      </w:tr>
    </w:tbl>
    <w:p>
      <w:pPr>
        <w:spacing w:after="0" w:before="500"/>
      </w:pPr>
    </w:p>
    <w:p>
      <w:pPr>
        <w:jc w:val="center"/>
      </w:pPr>
      <w:r>
        <w:rPr>
          <w:rFonts w:ascii="Arial" w:cs="Arial" w:eastAsia="Arial" w:hAnsi="Arial"/>
          <w:color w:val="616161"/>
          <w:sz w:val="20"/>
          <w:szCs w:val="20"/>
        </w:rPr>
        <w:t xml:space="preserve">Date: March 4, 2026</w:t>
      </w:r>
    </w:p>
    <w:p>
      <w:pPr>
        <w:spacing w:after="0" w:before="60"/>
      </w:pPr>
    </w:p>
    <w:p>
      <w:pPr>
        <w:jc w:val="center"/>
      </w:pPr>
      <w:r>
        <w:rPr>
          <w:rFonts w:ascii="Arial" w:cs="Arial" w:eastAsia="Arial" w:hAnsi="Arial"/>
          <w:color w:val="616161"/>
          <w:sz w:val="20"/>
          <w:szCs w:val="20"/>
        </w:rPr>
        <w:t xml:space="preserve">Platform: paulmalmquist.com  |  Environments Tested: 5  |  Test Phases: 3</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FDECEA" w:val="clear"/>
            <w:tcMar>
              <w:top w:type="dxa" w:w="160"/>
              <w:left w:type="dxa" w:w="200"/>
              <w:bottom w:type="dxa" w:w="160"/>
              <w:right w:type="dxa" w:w="200"/>
            </w:tcMar>
          </w:tcPr>
          <w:p>
            <w:pPr>
              <w:jc w:val="center"/>
            </w:pPr>
            <w:r>
              <w:rPr>
                <w:rFonts w:ascii="Arial" w:cs="Arial" w:eastAsia="Arial" w:hAnsi="Arial"/>
                <w:b/>
                <w:bCs/>
                <w:color w:val="0D3B66"/>
                <w:sz w:val="22"/>
                <w:szCs w:val="22"/>
              </w:rPr>
              <w:t xml:space="preserve">Phase 0</w:t>
            </w:r>
          </w:p>
          <w:p>
            <w:pPr>
              <w:jc w:val="center"/>
            </w:pPr>
            <w:r>
              <w:rPr>
                <w:rFonts w:ascii="Arial" w:cs="Arial" w:eastAsia="Arial" w:hAnsi="Arial"/>
                <w:color w:val="616161"/>
                <w:sz w:val="18"/>
                <w:szCs w:val="18"/>
              </w:rPr>
              <w:t xml:space="preserve">Setup Check</w:t>
            </w:r>
          </w:p>
          <w:p>
            <w:pPr>
              <w:jc w:val="center"/>
            </w:pPr>
            <w:r>
              <w:rPr>
                <w:rFonts w:ascii="Arial" w:cs="Arial" w:eastAsia="Arial" w:hAnsi="Arial"/>
                <w:b/>
                <w:bCs/>
                <w:color w:val="E65100"/>
                <w:sz w:val="22"/>
                <w:szCs w:val="22"/>
              </w:rPr>
              <w:t xml:space="preserve">2/5 PASS</w:t>
            </w:r>
          </w:p>
        </w:tc>
        <w:tc>
          <w:tcPr>
            <w:tcW w:type="dxa" w:w="2340"/>
            <w:tcBorders>
              <w:top w:val="single" w:color="BDBDBD" w:sz="1"/>
              <w:left w:val="single" w:color="BDBDBD" w:sz="1"/>
              <w:bottom w:val="single" w:color="BDBDBD" w:sz="1"/>
              <w:right w:val="single" w:color="BDBDBD" w:sz="1"/>
            </w:tcBorders>
            <w:shd w:fill="FDECEA" w:val="clear"/>
            <w:tcMar>
              <w:top w:type="dxa" w:w="160"/>
              <w:left w:type="dxa" w:w="200"/>
              <w:bottom w:type="dxa" w:w="160"/>
              <w:right w:type="dxa" w:w="200"/>
            </w:tcMar>
          </w:tcPr>
          <w:p>
            <w:pPr>
              <w:jc w:val="center"/>
            </w:pPr>
            <w:r>
              <w:rPr>
                <w:rFonts w:ascii="Arial" w:cs="Arial" w:eastAsia="Arial" w:hAnsi="Arial"/>
                <w:b/>
                <w:bCs/>
                <w:color w:val="0D3B66"/>
                <w:sz w:val="22"/>
                <w:szCs w:val="22"/>
              </w:rPr>
              <w:t xml:space="preserve">Phase 1</w:t>
            </w:r>
          </w:p>
          <w:p>
            <w:pPr>
              <w:jc w:val="center"/>
            </w:pPr>
            <w:r>
              <w:rPr>
                <w:rFonts w:ascii="Arial" w:cs="Arial" w:eastAsia="Arial" w:hAnsi="Arial"/>
                <w:color w:val="616161"/>
                <w:sz w:val="18"/>
                <w:szCs w:val="18"/>
              </w:rPr>
              <w:t xml:space="preserve">PDS Mission Control</w:t>
            </w:r>
          </w:p>
          <w:p>
            <w:pPr>
              <w:jc w:val="center"/>
            </w:pPr>
            <w:r>
              <w:rPr>
                <w:rFonts w:ascii="Arial" w:cs="Arial" w:eastAsia="Arial" w:hAnsi="Arial"/>
                <w:b/>
                <w:bCs/>
                <w:color w:val="C62828"/>
                <w:sz w:val="22"/>
                <w:szCs w:val="22"/>
              </w:rPr>
              <w:t xml:space="preserve">0/7 BLOCKED</w:t>
            </w:r>
          </w:p>
        </w:tc>
        <w:tc>
          <w:tcPr>
            <w:tcW w:type="dxa" w:w="2340"/>
            <w:tcBorders>
              <w:top w:val="single" w:color="BDBDBD" w:sz="1"/>
              <w:left w:val="single" w:color="BDBDBD" w:sz="1"/>
              <w:bottom w:val="single" w:color="BDBDBD" w:sz="1"/>
              <w:right w:val="single" w:color="BDBDBD" w:sz="1"/>
            </w:tcBorders>
            <w:shd w:fill="FDECEA" w:val="clear"/>
            <w:tcMar>
              <w:top w:type="dxa" w:w="160"/>
              <w:left w:type="dxa" w:w="200"/>
              <w:bottom w:type="dxa" w:w="160"/>
              <w:right w:type="dxa" w:w="200"/>
            </w:tcMar>
          </w:tcPr>
          <w:p>
            <w:pPr>
              <w:jc w:val="center"/>
            </w:pPr>
            <w:r>
              <w:rPr>
                <w:rFonts w:ascii="Arial" w:cs="Arial" w:eastAsia="Arial" w:hAnsi="Arial"/>
                <w:b/>
                <w:bCs/>
                <w:color w:val="0D3B66"/>
                <w:sz w:val="22"/>
                <w:szCs w:val="22"/>
              </w:rPr>
              <w:t xml:space="preserve">Phase 2</w:t>
            </w:r>
          </w:p>
          <w:p>
            <w:pPr>
              <w:jc w:val="center"/>
            </w:pPr>
            <w:r>
              <w:rPr>
                <w:rFonts w:ascii="Arial" w:cs="Arial" w:eastAsia="Arial" w:hAnsi="Arial"/>
                <w:color w:val="616161"/>
                <w:sz w:val="18"/>
                <w:szCs w:val="18"/>
              </w:rPr>
              <w:t xml:space="preserve">Cross-Fund Modeling</w:t>
            </w:r>
          </w:p>
          <w:p>
            <w:pPr>
              <w:jc w:val="center"/>
            </w:pPr>
            <w:r>
              <w:rPr>
                <w:rFonts w:ascii="Arial" w:cs="Arial" w:eastAsia="Arial" w:hAnsi="Arial"/>
                <w:b/>
                <w:bCs/>
                <w:color w:val="E65100"/>
                <w:sz w:val="22"/>
                <w:szCs w:val="22"/>
              </w:rPr>
              <w:t xml:space="preserve">2/6 PASS</w:t>
            </w:r>
          </w:p>
        </w:tc>
        <w:tc>
          <w:tcPr>
            <w:tcW w:type="dxa" w:w="2340"/>
            <w:tcBorders>
              <w:top w:val="single" w:color="BDBDBD" w:sz="1"/>
              <w:left w:val="single" w:color="BDBDBD" w:sz="1"/>
              <w:bottom w:val="single" w:color="BDBDBD" w:sz="1"/>
              <w:right w:val="single" w:color="BDBDBD" w:sz="1"/>
            </w:tcBorders>
            <w:shd w:fill="FDECEA" w:val="clear"/>
            <w:tcMar>
              <w:top w:type="dxa" w:w="160"/>
              <w:left w:type="dxa" w:w="200"/>
              <w:bottom w:type="dxa" w:w="160"/>
              <w:right w:type="dxa" w:w="200"/>
            </w:tcMar>
          </w:tcPr>
          <w:p>
            <w:pPr>
              <w:jc w:val="center"/>
            </w:pPr>
            <w:r>
              <w:rPr>
                <w:rFonts w:ascii="Arial" w:cs="Arial" w:eastAsia="Arial" w:hAnsi="Arial"/>
                <w:b/>
                <w:bCs/>
                <w:color w:val="0D3B66"/>
                <w:sz w:val="22"/>
                <w:szCs w:val="22"/>
              </w:rPr>
              <w:t xml:space="preserve">Overall</w:t>
            </w:r>
          </w:p>
          <w:p>
            <w:pPr>
              <w:jc w:val="center"/>
            </w:pPr>
            <w:r>
              <w:rPr>
                <w:rFonts w:ascii="Arial" w:cs="Arial" w:eastAsia="Arial" w:hAnsi="Arial"/>
                <w:color w:val="616161"/>
                <w:sz w:val="18"/>
                <w:szCs w:val="18"/>
              </w:rPr>
              <w:t xml:space="preserve">7-Dimension Rubric</w:t>
            </w:r>
          </w:p>
          <w:p>
            <w:pPr>
              <w:jc w:val="center"/>
            </w:pPr>
            <w:r>
              <w:rPr>
                <w:rFonts w:ascii="Arial" w:cs="Arial" w:eastAsia="Arial" w:hAnsi="Arial"/>
                <w:b/>
                <w:bCs/>
                <w:color w:val="C62828"/>
                <w:sz w:val="22"/>
                <w:szCs w:val="22"/>
              </w:rPr>
              <w:t xml:space="preserve">1.9 / 5.0</w:t>
            </w:r>
          </w:p>
        </w:tc>
      </w:tr>
    </w:tbl>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0D3B66"/>
          <w:sz w:val="32"/>
          <w:szCs w:val="32"/>
        </w:rPr>
        <w:t xml:space="preserve">1. Executive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D6E8F7" w:val="clear"/>
            <w:tcMar>
              <w:top w:type="dxa" w:w="180"/>
              <w:left w:type="dxa" w:w="240"/>
              <w:bottom w:type="dxa" w:w="180"/>
              <w:right w:type="dxa" w:w="240"/>
            </w:tcMar>
          </w:tcPr>
          <w:p>
            <w:r>
              <w:rPr>
                <w:rFonts w:ascii="Arial" w:cs="Arial" w:eastAsia="Arial" w:hAnsi="Arial"/>
                <w:b/>
                <w:bCs/>
                <w:color w:val="0D3B66"/>
                <w:sz w:val="22"/>
                <w:szCs w:val="22"/>
              </w:rPr>
              <w:t xml:space="preserve">Auditor Statement</w:t>
            </w:r>
          </w:p>
          <w:p>
            <w:pPr>
              <w:spacing w:after="0" w:before="60"/>
            </w:pPr>
          </w:p>
          <w:p>
            <w:pPr>
              <w:spacing w:after="100" w:before="60"/>
            </w:pPr>
            <w:r>
              <w:rPr>
                <w:rFonts w:ascii="Arial" w:cs="Arial" w:eastAsia="Arial" w:hAnsi="Arial"/>
                <w:color w:val="1A1A2E"/>
                <w:sz w:val="20"/>
                <w:szCs w:val="20"/>
              </w:rPr>
              <w:t xml:space="preserve">I came in cold as a PE ops practitioner expecting to evaluate Winston across two distinct product surfaces: the PDS Mission Control for construction program oversight, and the Cross-Fund Modeling workflow for private equity scenario analysis. What I found was a platform with strong data architecture bones and a real estate module that shows genuine promise — but with critical blockers preventing meaningful functional testing of the primary use cases I was scoped to evaluate.</w:t>
            </w:r>
          </w:p>
          <w:p>
            <w:pPr>
              <w:spacing w:after="100" w:before="60"/>
            </w:pPr>
            <w:r>
              <w:rPr>
                <w:rFonts w:ascii="Arial" w:cs="Arial" w:eastAsia="Arial" w:hAnsi="Arial"/>
                <w:color w:val="1A1A2E"/>
                <w:sz w:val="20"/>
                <w:szCs w:val="20"/>
              </w:rPr>
              <w:t xml:space="preserve">The PDS environment (StonePDS) is completely non-functional due to an unmitigated database schema migration error. Every attempt to load the core product surface returns a Postgres column-not-found error with no fallback. Phase 1 could not be executed at all — all 7 tests are rated BLOCKED, not FAIL.</w:t>
            </w:r>
          </w:p>
          <w:p>
            <w:pPr>
              <w:spacing w:after="100" w:before="60"/>
            </w:pPr>
            <w:r>
              <w:rPr>
                <w:rFonts w:ascii="Arial" w:cs="Arial" w:eastAsia="Arial" w:hAnsi="Arial"/>
                <w:color w:val="1A1A2E"/>
                <w:sz w:val="20"/>
                <w:szCs w:val="20"/>
              </w:rPr>
              <w:t xml:space="preserve">The Cross-Fund Modeling surface in Meridian Capital Management loads and shows genuine seeded data, but the modeling workflow itself is architecturally incomplete: entity scope is API-only with no UI path, assumption overrides crash, Run Model produces either a generic error or silent failure, Clone does not exist, and the system accepts duplicate model names without validation. Two of six tests pass — both are creation-stage successes only.</w:t>
            </w:r>
          </w:p>
          <w:p>
            <w:r>
              <w:rPr>
                <w:rFonts w:ascii="Arial" w:cs="Arial" w:eastAsia="Arial" w:hAnsi="Arial"/>
                <w:b/>
                <w:bCs/>
                <w:color w:val="C62828"/>
                <w:sz w:val="20"/>
                <w:szCs w:val="20"/>
              </w:rPr>
              <w:t xml:space="preserve">Bottom line: this is a pre-alpha build on the workflow layer. The data layer is sound. The UI layer for PE modeling needs a full sprint of foundational work before it can support a real practitioner evaluation.</w:t>
            </w:r>
          </w:p>
        </w:tc>
      </w:tr>
    </w:tbl>
    <w:p>
      <w:pPr>
        <w:spacing w:after="0" w:before="200"/>
      </w:pPr>
    </w:p>
    <w:p>
      <w:pPr>
        <w:pStyle w:val="Heading2"/>
        <w:spacing w:after="120" w:before="280"/>
      </w:pPr>
      <w:r>
        <w:rPr>
          <w:rFonts w:ascii="Arial" w:cs="Arial" w:eastAsia="Arial" w:hAnsi="Arial"/>
          <w:b/>
          <w:bCs/>
          <w:color w:val="1565C0"/>
          <w:sz w:val="26"/>
          <w:szCs w:val="26"/>
        </w:rPr>
        <w:t xml:space="preserve">1.1 Aggregate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400"/>
        <w:gridCol w:w="4980"/>
      </w:tblGrid>
      <w:tr>
        <w:tc>
          <w:tcPr>
            <w:tcW w:type="dxa" w:w="25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4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Stars</w:t>
            </w:r>
          </w:p>
        </w:tc>
        <w:tc>
          <w:tcPr>
            <w:tcW w:type="dxa" w:w="49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Intervention Clarity</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1/5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Generic 'Internal error' on 3 of 4 run attempts; 1 silent failure</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Workflow Alignment</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E65100"/>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Model creation works; full modeling workflow broken at scope &amp; run</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Actionability</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E65100"/>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Empty states partially instructive; API-only scope is not actionable in UI</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Signal Quality</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1/5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No error detail, no error codes, no guidance on how to resolve failures</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Data Accuracy</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4/5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2E7D32"/>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Seeded RE fund data is rich, coherent, and PE-appropriate</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Performance</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616161"/>
                <w:sz w:val="20"/>
                <w:szCs w:val="20"/>
              </w:rPr>
              <w:t xml:space="preserve">3/5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Page loads fast; core crashes are correctness issues, not perf issues</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Robustness</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1/5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C62828"/>
                <w:sz w:val="20"/>
                <w:szCs w:val="20"/>
              </w:rPr>
              <w:t xml:space="preserve">★☆☆☆☆</w:t>
            </w:r>
          </w:p>
        </w:tc>
        <w:tc>
          <w:tcPr>
            <w:tcW w:type="dxa" w:w="36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Schema error blocks Phase 1 entirely; duplicate names, crash on run</w:t>
            </w:r>
          </w:p>
        </w:tc>
      </w:tr>
    </w:tbl>
    <w:p>
      <w:pPr>
        <w:spacing w:after="0" w:before="80"/>
      </w:pPr>
    </w:p>
    <w:p>
      <w:pPr>
        <w:spacing w:after="200" w:before="120"/>
      </w:pPr>
      <w:r>
        <w:rPr>
          <w:rFonts w:ascii="Arial" w:cs="Arial" w:eastAsia="Arial" w:hAnsi="Arial"/>
          <w:b/>
          <w:bCs/>
          <w:color w:val="0D3B66"/>
          <w:sz w:val="22"/>
          <w:szCs w:val="22"/>
        </w:rPr>
        <w:t xml:space="preserve">Composite Score: </w:t>
      </w:r>
      <w:r>
        <w:rPr>
          <w:rFonts w:ascii="Arial" w:cs="Arial" w:eastAsia="Arial" w:hAnsi="Arial"/>
          <w:b/>
          <w:bCs/>
          <w:color w:val="C62828"/>
          <w:sz w:val="28"/>
          <w:szCs w:val="28"/>
        </w:rPr>
        <w:t xml:space="preserve">1.9 / 5.0  </w:t>
      </w:r>
      <w:r>
        <w:rPr>
          <w:rFonts w:ascii="Arial" w:cs="Arial" w:eastAsia="Arial" w:hAnsi="Arial"/>
          <w:i/>
          <w:iCs/>
          <w:color w:val="616161"/>
          <w:sz w:val="20"/>
          <w:szCs w:val="20"/>
        </w:rPr>
        <w:t xml:space="preserve">(Pre-Alpha — Not Practitioner-Ready)</w:t>
      </w:r>
    </w:p>
    <w:p>
      <w:r>
        <w:br w:type="page"/>
      </w:r>
    </w:p>
    <w:p>
      <w:pPr>
        <w:pStyle w:val="Heading1"/>
        <w:spacing w:after="180" w:before="360"/>
      </w:pPr>
      <w:r>
        <w:rPr>
          <w:rFonts w:ascii="Arial" w:cs="Arial" w:eastAsia="Arial" w:hAnsi="Arial"/>
          <w:b/>
          <w:bCs/>
          <w:color w:val="0D3B66"/>
          <w:sz w:val="32"/>
          <w:szCs w:val="32"/>
        </w:rPr>
        <w:t xml:space="preserve">2. Phase 0: Setup Check</w:t>
      </w:r>
    </w:p>
    <w:p>
      <w:pPr>
        <w:pStyle w:val="Heading2"/>
        <w:spacing w:after="120" w:before="280"/>
      </w:pPr>
      <w:r>
        <w:rPr>
          <w:rFonts w:ascii="Arial" w:cs="Arial" w:eastAsia="Arial" w:hAnsi="Arial"/>
          <w:b/>
          <w:bCs/>
          <w:color w:val="1565C0"/>
          <w:sz w:val="26"/>
          <w:szCs w:val="26"/>
        </w:rPr>
        <w:t xml:space="preserve">2.1 Environment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3480"/>
      </w:tblGrid>
      <w:tr>
        <w:tc>
          <w:tcPr>
            <w:tcW w:type="dxa" w:w="28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6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4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PDS Command (/pds)</w:t>
            </w:r>
          </w:p>
        </w:tc>
        <w:tc>
          <w:tcPr>
            <w:tcW w:type="dxa" w:w="16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CRITICAL: column 'industry_type' does not exist (Postgres schema error)</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/legal</w:t>
            </w:r>
          </w:p>
        </w:tc>
        <w:tc>
          <w:tcPr>
            <w:tcW w:type="dxa" w:w="16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3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Same schema error as /pds — identical crash</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/accounting, /reporting</w:t>
            </w:r>
          </w:p>
        </w:tc>
        <w:tc>
          <w:tcPr>
            <w:tcW w:type="dxa" w:w="16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E65100" w:val="clear"/>
              </w:rPr>
              <w:t xml:space="preserve"> PARTIAL </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Load as static stub description cards — no live data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/operations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2E7D32" w:val="clear"/>
              </w:rPr>
              <w:t xml:space="preserve"> PASS </w:t>
            </w:r>
          </w:p>
        </w:tc>
        <w:tc>
          <w:tcPr>
            <w:tcW w:type="dxa" w:w="3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Loads without error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/repe, /investments</w:t>
            </w:r>
          </w:p>
        </w:tc>
        <w:tc>
          <w:tcPr>
            <w:tcW w:type="dxa" w:w="16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404 Not Found — routes do not exist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Apex Holdings</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ECC (/ecc)</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2E7D32" w:val="clear"/>
              </w:rPr>
              <w:t xml:space="preserve"> PASS </w:t>
            </w:r>
          </w:p>
        </w:tc>
        <w:tc>
          <w:tcPr>
            <w:tcW w:type="dxa" w:w="3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Loads with live seeded data: 5 red alerts, 11 VIP replies, 5 approvals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Capital Mgmt</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 Estate (/re)</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2E7D32" w:val="clear"/>
              </w:rPr>
              <w:t xml:space="preserve"> PASS </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Rich seeded data: 3 funds, $2.0B commitments, $1.7B NAV, 33 assets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Capital Mgmt</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Models (/re/models)</w:t>
            </w:r>
          </w:p>
        </w:tc>
        <w:tc>
          <w:tcPr>
            <w:tcW w:type="dxa" w:w="16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E65100" w:val="clear"/>
              </w:rPr>
              <w:t xml:space="preserve"> PARTIAL </w:t>
            </w:r>
          </w:p>
        </w:tc>
        <w:tc>
          <w:tcPr>
            <w:tcW w:type="dxa" w:w="3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UI loads; 2 pre-seeded models present; workflow broken (see Phase 2)</w:t>
            </w:r>
          </w:p>
        </w:tc>
      </w:tr>
    </w:tbl>
    <w:p>
      <w:pPr>
        <w:spacing w:after="0" w:before="160"/>
      </w:pPr>
    </w:p>
    <w:p>
      <w:pPr>
        <w:pStyle w:val="Heading2"/>
        <w:spacing w:after="120" w:before="280"/>
      </w:pPr>
      <w:r>
        <w:rPr>
          <w:rFonts w:ascii="Arial" w:cs="Arial" w:eastAsia="Arial" w:hAnsi="Arial"/>
          <w:b/>
          <w:bCs/>
          <w:color w:val="1565C0"/>
          <w:sz w:val="26"/>
          <w:szCs w:val="26"/>
        </w:rPr>
        <w:t xml:space="preserve">2.2 Critical Schema Error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FFF8E1" w:val="clear"/>
            <w:tcMar>
              <w:top w:type="dxa" w:w="160"/>
              <w:left w:type="dxa" w:w="240"/>
              <w:bottom w:type="dxa" w:w="160"/>
              <w:right w:type="dxa" w:w="240"/>
            </w:tcMar>
          </w:tcPr>
          <w:p>
            <w:r>
              <w:rPr>
                <w:rFonts w:ascii="Courier New" w:cs="Courier New" w:eastAsia="Courier New" w:hAnsi="Courier New"/>
                <w:b/>
                <w:bCs/>
                <w:color w:val="C62828"/>
                <w:sz w:val="20"/>
                <w:szCs w:val="20"/>
              </w:rPr>
              <w:t xml:space="preserve">Error: column "industry_type" does not exist</w:t>
            </w:r>
          </w:p>
          <w:p>
            <w:pPr>
              <w:spacing w:after="0" w:before="60"/>
            </w:pPr>
          </w:p>
          <w:p>
            <w:r>
              <w:rPr>
                <w:rFonts w:ascii="Courier New" w:cs="Courier New" w:eastAsia="Courier New" w:hAnsi="Courier New"/>
                <w:color w:val="616161"/>
                <w:sz w:val="18"/>
                <w:szCs w:val="18"/>
              </w:rPr>
              <w:t xml:space="preserve">LINE 2: ...SELECT env_id::text, client_name, industry, industry_type...</w:t>
            </w:r>
          </w:p>
          <w:p>
            <w:pPr>
              <w:spacing w:after="0" w:before="60"/>
            </w:pPr>
          </w:p>
          <w:p>
            <w:pPr>
              <w:spacing w:after="100" w:before="60"/>
            </w:pPr>
            <w:r>
              <w:rPr>
                <w:rFonts w:ascii="Arial" w:cs="Arial" w:eastAsia="Arial" w:hAnsi="Arial"/>
                <w:color w:val="1A1A2E"/>
                <w:sz w:val="20"/>
                <w:szCs w:val="20"/>
              </w:rPr>
              <w:t xml:space="preserve">Root Cause: The application query references an 'industry_type' column that does not exist in the Postgres 'workspaces' (or equivalent) table. This indicates a schema migration was applied to the query/ORM layer but not to the database table itself — or a rollback left the column absent while the query was not reverted.</w:t>
            </w:r>
          </w:p>
          <w:p>
            <w:pPr>
              <w:spacing w:after="100" w:before="60"/>
            </w:pPr>
            <w:r>
              <w:rPr>
                <w:rFonts w:ascii="Arial" w:cs="Arial" w:eastAsia="Arial" w:hAnsi="Arial"/>
                <w:color w:val="1A1A2E"/>
                <w:sz w:val="20"/>
                <w:szCs w:val="20"/>
              </w:rPr>
              <w:t xml:space="preserve">Blast Radius: Any route requiring workspace context resolution fires this query. Confirmed crashes on /pds and /legal. Likely also blocks /documents, /crm, /compliance, /pipeline.</w:t>
            </w:r>
          </w:p>
          <w:p>
            <w:pPr>
              <w:spacing w:after="100" w:before="60"/>
            </w:pPr>
            <w:r>
              <w:rPr>
                <w:rFonts w:ascii="Arial" w:cs="Arial" w:eastAsia="Arial" w:hAnsi="Arial"/>
                <w:b/>
                <w:bCs/>
                <w:color w:val="0D3B66"/>
                <w:sz w:val="20"/>
                <w:szCs w:val="20"/>
              </w:rPr>
              <w:t xml:space="preserve">Fix Required: </w:t>
            </w:r>
            <w:r>
              <w:rPr>
                <w:rFonts w:ascii="Arial" w:cs="Arial" w:eastAsia="Arial" w:hAnsi="Arial"/>
                <w:sz w:val="20"/>
                <w:szCs w:val="20"/>
              </w:rPr>
              <w:t xml:space="preserve">Run the missing migration to add the 'industry_type' column to the workspace context table, or revert the query to not select that column.</w:t>
            </w:r>
          </w:p>
        </w:tc>
      </w:tr>
    </w:tbl>
    <w:p>
      <w:r>
        <w:br w:type="page"/>
      </w:r>
    </w:p>
    <w:p>
      <w:pPr>
        <w:pStyle w:val="Heading1"/>
        <w:spacing w:after="180" w:before="360"/>
      </w:pPr>
      <w:r>
        <w:rPr>
          <w:rFonts w:ascii="Arial" w:cs="Arial" w:eastAsia="Arial" w:hAnsi="Arial"/>
          <w:b/>
          <w:bCs/>
          <w:color w:val="0D3B66"/>
          <w:sz w:val="32"/>
          <w:szCs w:val="32"/>
        </w:rPr>
        <w:t xml:space="preserve">3. Phase 1: PDS Mission Control — FULLY BLOCKED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BDBD" w:sz="1"/>
              <w:left w:val="single" w:color="BDBDBD" w:sz="1"/>
              <w:bottom w:val="single" w:color="BDBDBD" w:sz="1"/>
              <w:right w:val="single" w:color="BDBDBD" w:sz="1"/>
            </w:tcBorders>
            <w:shd w:fill="FDECEA" w:val="clear"/>
            <w:tcMar>
              <w:top w:type="dxa" w:w="160"/>
              <w:left w:type="dxa" w:w="240"/>
              <w:bottom w:type="dxa" w:w="160"/>
              <w:right w:type="dxa" w:w="240"/>
            </w:tcMar>
          </w:tcPr>
          <w:p>
            <w:r>
              <w:rPr>
                <w:rFonts w:ascii="Arial" w:cs="Arial" w:eastAsia="Arial" w:hAnsi="Arial"/>
                <w:b/>
                <w:bCs/>
                <w:color w:val="C62828"/>
                <w:sz w:val="22"/>
                <w:szCs w:val="22"/>
              </w:rPr>
              <w:t xml:space="preserve">BLOCKER: 0 of 7 tests executable</w:t>
            </w:r>
          </w:p>
          <w:p>
            <w:pPr>
              <w:spacing w:after="0" w:before="60"/>
            </w:pPr>
          </w:p>
          <w:p>
            <w:pPr>
              <w:spacing w:after="100" w:before="60"/>
            </w:pPr>
            <w:r>
              <w:rPr>
                <w:rFonts w:ascii="Arial" w:cs="Arial" w:eastAsia="Arial" w:hAnsi="Arial"/>
                <w:color w:val="1A1A2E"/>
                <w:sz w:val="20"/>
                <w:szCs w:val="20"/>
              </w:rPr>
              <w:t xml:space="preserve">Every attempt to load the PDS Command Center (/pds) in the StonePDS environment results in an unhandled Postgres schema error. The error is not caught, wrapped, or presented with a recovery path — it crashes the entire module and freezes navigation state, requiring a direct URL change to escape. Two separate request IDs were generated (confirming no caching or single-event fluke), and the /legal module also crashes with the identical error.</w:t>
            </w:r>
          </w:p>
          <w:p>
            <w:pPr>
              <w:spacing w:after="100" w:before="60"/>
            </w:pPr>
            <w:r>
              <w:rPr>
                <w:rFonts w:ascii="Arial" w:cs="Arial" w:eastAsia="Arial" w:hAnsi="Arial"/>
                <w:color w:val="1A1A2E"/>
                <w:sz w:val="20"/>
                <w:szCs w:val="20"/>
              </w:rPr>
              <w:t xml:space="preserve">None of the 7 Phase 1 tests — 5-second comprehension, intervention ranking, deep-link action quality, milestone usefulness, financial reality, empty state, or responsive layout — could be evaluated. These tests require the PDS dashboard to load. All 7 are rated BLOCKED.</w:t>
            </w:r>
          </w:p>
        </w:tc>
      </w:tr>
    </w:tbl>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5880"/>
      </w:tblGrid>
      <w:tr>
        <w:tc>
          <w:tcPr>
            <w:tcW w:type="dxa" w:w="6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14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8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 Reason</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5-Second Comprehension</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T2</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Intervention Ranking</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T3</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Deep-Link Action Quality</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T4</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Milestone Usefulness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T5</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Financial Reality Check</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T6</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Empty State Handling</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T7</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Responsive Layout</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616161" w:val="clear"/>
              </w:rPr>
              <w:t xml:space="preserve"> BLOCKED </w:t>
            </w:r>
          </w:p>
        </w:tc>
        <w:tc>
          <w:tcPr>
            <w:tcW w:type="dxa" w:w="5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Postgres schema error on /pds load: column 'industry_type' does not exist</w:t>
            </w:r>
          </w:p>
        </w:tc>
      </w:tr>
    </w:tbl>
    <w:p>
      <w:pPr>
        <w:spacing w:after="0" w:before="160"/>
      </w:pPr>
    </w:p>
    <w:p>
      <w:pPr>
        <w:pStyle w:val="Heading2"/>
        <w:spacing w:after="120" w:before="280"/>
      </w:pPr>
      <w:r>
        <w:rPr>
          <w:rFonts w:ascii="Arial" w:cs="Arial" w:eastAsia="Arial" w:hAnsi="Arial"/>
          <w:b/>
          <w:bCs/>
          <w:color w:val="1565C0"/>
          <w:sz w:val="26"/>
          <w:szCs w:val="26"/>
        </w:rPr>
        <w:t xml:space="preserve">3.1 Additional PDS Navigation Findings</w:t>
      </w:r>
    </w:p>
    <w:p>
      <w:pPr>
        <w:spacing w:after="100" w:before="60"/>
      </w:pPr>
      <w:r>
        <w:rPr>
          <w:rFonts w:ascii="Arial" w:cs="Arial" w:eastAsia="Arial" w:hAnsi="Arial"/>
          <w:color w:val="1A1A2E"/>
          <w:sz w:val="20"/>
          <w:szCs w:val="20"/>
        </w:rPr>
        <w:t xml:space="preserve">While attempting to recover from the crash, the following secondary issues were observed:</w:t>
      </w:r>
    </w:p>
    <w:p>
      <w:pPr>
        <w:pStyle w:val="ListParagraph"/>
        <w:numPr>
          <w:ilvl w:val="0"/>
          <w:numId w:val="2"/>
        </w:numPr>
        <w:spacing w:after="60" w:before="40"/>
      </w:pPr>
      <w:r>
        <w:rPr>
          <w:rFonts w:ascii="Arial" w:cs="Arial" w:eastAsia="Arial" w:hAnsi="Arial"/>
          <w:color w:val="1A1A2E"/>
          <w:sz w:val="20"/>
          <w:szCs w:val="20"/>
        </w:rPr>
        <w:t xml:space="preserve">After a crash, clicking nav icons in the left sidebar does NOT navigate away — the error state freezes navigation, requiring a direct URL input to escape.</w:t>
      </w:r>
    </w:p>
    <w:p>
      <w:pPr>
        <w:pStyle w:val="ListParagraph"/>
        <w:numPr>
          <w:ilvl w:val="0"/>
          <w:numId w:val="2"/>
        </w:numPr>
        <w:spacing w:after="60" w:before="40"/>
      </w:pPr>
      <w:r>
        <w:rPr>
          <w:rFonts w:ascii="Arial" w:cs="Arial" w:eastAsia="Arial" w:hAnsi="Arial"/>
          <w:color w:val="1A1A2E"/>
          <w:sz w:val="20"/>
          <w:szCs w:val="20"/>
        </w:rPr>
        <w:t xml:space="preserve">The /ecc route in StonePDS cross-links into the Meridian Apex Holdings ECC environment — a cross-environment boundary crossing that may be intentional shared module behavior but was not documented.</w:t>
      </w:r>
    </w:p>
    <w:p>
      <w:pPr>
        <w:pStyle w:val="ListParagraph"/>
        <w:numPr>
          <w:ilvl w:val="0"/>
          <w:numId w:val="2"/>
        </w:numPr>
        <w:spacing w:after="60" w:before="40"/>
      </w:pPr>
      <w:r>
        <w:rPr>
          <w:rFonts w:ascii="Arial" w:cs="Arial" w:eastAsia="Arial" w:hAnsi="Arial"/>
          <w:color w:val="1A1A2E"/>
          <w:sz w:val="20"/>
          <w:szCs w:val="20"/>
        </w:rPr>
        <w:t xml:space="preserve">StonePDS has no PE/REPE modeling module in its nav tree. Navigation includes: Projects, Operations, Accounting, Reporting, Legal, Documents, CRM, Compliance, Pipeline. The /repe and /investments paths return 404.</w:t>
      </w:r>
    </w:p>
    <w:p>
      <w:r>
        <w:br w:type="page"/>
      </w:r>
    </w:p>
    <w:p>
      <w:pPr>
        <w:pStyle w:val="Heading1"/>
        <w:spacing w:after="180" w:before="360"/>
      </w:pPr>
      <w:r>
        <w:rPr>
          <w:rFonts w:ascii="Arial" w:cs="Arial" w:eastAsia="Arial" w:hAnsi="Arial"/>
          <w:b/>
          <w:bCs/>
          <w:color w:val="0D3B66"/>
          <w:sz w:val="32"/>
          <w:szCs w:val="32"/>
        </w:rPr>
        <w:t xml:space="preserve">4. Phase 2: Cross-Fund PE Modeling Workflow</w:t>
      </w:r>
    </w:p>
    <w:p>
      <w:pPr>
        <w:spacing w:after="100" w:before="60"/>
      </w:pPr>
      <w:r>
        <w:rPr>
          <w:rFonts w:ascii="Arial" w:cs="Arial" w:eastAsia="Arial" w:hAnsi="Arial"/>
          <w:color w:val="1A1A2E"/>
          <w:sz w:val="20"/>
          <w:szCs w:val="20"/>
        </w:rPr>
        <w:t xml:space="preserve">All Phase 2 tests were executed in the Meridian Capital Management environment (env: a1b2c3d4-0001-0001-0003-000000000001) using the /re/models module. The environment has strong seeded data: 3 funds totaling $2.0B in commitments, $1.7B portfolio NAV, and 33 active assets.</w:t>
      </w:r>
    </w:p>
    <w:p>
      <w:pPr>
        <w:spacing w:after="0" w:before="100"/>
      </w:pPr>
    </w:p>
    <w:p>
      <w:pPr>
        <w:pStyle w:val="Heading2"/>
        <w:spacing w:after="120" w:before="280"/>
      </w:pPr>
      <w:r>
        <w:rPr>
          <w:rFonts w:ascii="Arial" w:cs="Arial" w:eastAsia="Arial" w:hAnsi="Arial"/>
          <w:b/>
          <w:bCs/>
          <w:color w:val="1565C0"/>
          <w:sz w:val="26"/>
          <w:szCs w:val="26"/>
        </w:rPr>
        <w:t xml:space="preserve">4.1 Test Results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5080"/>
      </w:tblGrid>
      <w:tr>
        <w:tc>
          <w:tcPr>
            <w:tcW w:type="dxa" w:w="6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14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50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Finding</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T8</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 Model Without Fund</w:t>
            </w:r>
          </w:p>
        </w:tc>
        <w:tc>
          <w:tcPr>
            <w:tcW w:type="dxa" w:w="1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E65100" w:val="clear"/>
              </w:rPr>
              <w:t xml:space="preserve"> PARTIAL </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Form accepts creation; 'Select fund' collapses page; no Base scenario auto-created</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T9</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Cross-Fund Asset Scope</w:t>
            </w:r>
          </w:p>
        </w:tc>
        <w:tc>
          <w:tcPr>
            <w:tcW w:type="dxa" w:w="14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5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 in-UI way to add assets — 'Use the API to add entities' — complete dead end</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T10</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Asset-Level Assumption Overrides</w:t>
            </w:r>
          </w:p>
        </w:tc>
        <w:tc>
          <w:tcPr>
            <w:tcW w:type="dxa" w:w="14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Fund-level only; no asset selector; override save crashes with 'Internal error'</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T11</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Scenario Run + Results</w:t>
            </w:r>
          </w:p>
        </w:tc>
        <w:tc>
          <w:tcPr>
            <w:tcW w:type="dxa" w:w="14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5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Model: 'Internal error' on user-created model; silent failure on seeded model</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T12</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Clone + Compare</w:t>
            </w:r>
          </w:p>
        </w:tc>
        <w:tc>
          <w:tcPr>
            <w:tcW w:type="dxa" w:w="14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Clone feature does not exist — no button, no context menu, no row actions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T13</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Edge Cases</w:t>
            </w:r>
          </w:p>
        </w:tc>
        <w:tc>
          <w:tcPr>
            <w:tcW w:type="dxa" w:w="140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8"/>
                <w:szCs w:val="18"/>
                <w:shd w:fill="C62828" w:val="clear"/>
              </w:rPr>
              <w:t xml:space="preserve"> FAIL </w:t>
            </w:r>
          </w:p>
        </w:tc>
        <w:tc>
          <w:tcPr>
            <w:tcW w:type="dxa" w:w="5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Duplicate model name accepted silently; Run with 0 entities = 'Internal error'</w:t>
            </w:r>
          </w:p>
        </w:tc>
      </w:tr>
    </w:tbl>
    <w:p>
      <w:pPr>
        <w:spacing w:after="0" w:before="200"/>
      </w:pPr>
    </w:p>
    <w:p>
      <w:pPr>
        <w:pStyle w:val="Heading2"/>
        <w:spacing w:after="120" w:before="280"/>
      </w:pPr>
      <w:r>
        <w:rPr>
          <w:rFonts w:ascii="Arial" w:cs="Arial" w:eastAsia="Arial" w:hAnsi="Arial"/>
          <w:b/>
          <w:bCs/>
          <w:color w:val="1565C0"/>
          <w:sz w:val="26"/>
          <w:szCs w:val="26"/>
        </w:rPr>
        <w:t xml:space="preserve">4.2 Detailed Test Findings</w:t>
      </w:r>
    </w:p>
    <w:p>
      <w:pPr>
        <w:pStyle w:val="Heading3"/>
        <w:spacing w:after="100" w:before="200"/>
      </w:pPr>
      <w:r>
        <w:rPr>
          <w:rFonts w:ascii="Arial" w:cs="Arial" w:eastAsia="Arial" w:hAnsi="Arial"/>
          <w:b/>
          <w:bCs/>
          <w:color w:val="0D3B66"/>
          <w:sz w:val="22"/>
          <w:szCs w:val="22"/>
        </w:rPr>
        <w:t xml:space="preserve">Test 8 — Create Model Without Fund Assignment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b/>
                <w:bCs/>
                <w:color w:val="FFFFFF"/>
                <w:sz w:val="18"/>
                <w:szCs w:val="18"/>
                <w:shd w:fill="E65100" w:val="clear"/>
              </w:rPr>
              <w:t xml:space="preserve"> PARTIAL PASS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 Criteria Met</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Model form has Name, Description, Strategy fields only — no fund field in creation form itself. Model creation succeeds instantly; new entry appears in list without page refresh.</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Failures</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Page-level fund dropdown is a hard prerequisite: selecting 'Select fund' (empty) collapses the entire page content including the CREATE MODEL form and models list. No Base scenario is auto-created after model creation (IN SCOPE shows 0 entities, OVERRIDES shows 0).</w:t>
            </w:r>
          </w:p>
        </w:tc>
      </w:tr>
    </w:tbl>
    <w:p>
      <w:pPr>
        <w:spacing w:after="0" w:before="80"/>
      </w:pPr>
    </w:p>
    <w:p>
      <w:pPr>
        <w:spacing w:after="100" w:before="60"/>
      </w:pPr>
      <w:r>
        <w:rPr>
          <w:rFonts w:ascii="Arial" w:cs="Arial" w:eastAsia="Arial" w:hAnsi="Arial"/>
          <w:color w:val="1A1A2E"/>
          <w:sz w:val="20"/>
          <w:szCs w:val="20"/>
        </w:rPr>
        <w:t xml:space="preserve">The page subtitle reads 'Create and manage analytical models for fund-level scenario analysis' — but the stated use case is cross-fund modeling. This labeling inconsistency suggests the feature may have been designed fund-by-fund and the cross-fund scope was added later without UI updates.</w:t>
      </w:r>
    </w:p>
    <w:p>
      <w:pPr>
        <w:spacing w:after="0" w:before="160"/>
      </w:pPr>
    </w:p>
    <w:p>
      <w:pPr>
        <w:pStyle w:val="Heading3"/>
        <w:spacing w:after="100" w:before="200"/>
      </w:pPr>
      <w:r>
        <w:rPr>
          <w:rFonts w:ascii="Arial" w:cs="Arial" w:eastAsia="Arial" w:hAnsi="Arial"/>
          <w:b/>
          <w:bCs/>
          <w:color w:val="0D3B66"/>
          <w:sz w:val="22"/>
          <w:szCs w:val="22"/>
        </w:rPr>
        <w:t xml:space="preserve">Test 9 — Cross-Fund Asset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tcPr>
          <w:p>
            <w:r>
              <w:rPr>
                <w:rFonts w:ascii="Arial" w:cs="Arial" w:eastAsia="Arial" w:hAnsi="Arial"/>
                <w:b/>
                <w:bCs/>
                <w:color w:val="FFFFFF"/>
                <w:sz w:val="18"/>
                <w:szCs w:val="18"/>
                <w:shd w:fill="C62828" w:val="clear"/>
              </w:rPr>
              <w:t xml:space="preserve"> FAIL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Observed</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Scope tab displays: 'ENTITY SCOPE — Select which assets, investments, and JVs are included in this model. Only in-scope entities will be editable in the Assumptions tab.' followed by: 'No entities in scope. Use the API to add entities.'</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Root Issue</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instruction to 'select assets' implies a UI picker, but none exists. The actual mechanism is API-only. This is the highest-severity UX gap in Phase 2: the entire downstream workflow (assumptions, run, results) is blocked because there is no UI path to populate scope.</w:t>
            </w:r>
          </w:p>
        </w:tc>
      </w:tr>
    </w:tbl>
    <w:p>
      <w:pPr>
        <w:spacing w:after="0" w:before="80"/>
      </w:pPr>
    </w:p>
    <w:p>
      <w:pPr>
        <w:spacing w:after="100" w:before="60"/>
      </w:pPr>
      <w:r>
        <w:rPr>
          <w:rFonts w:ascii="Arial" w:cs="Arial" w:eastAsia="Arial" w:hAnsi="Arial"/>
          <w:color w:val="1A1A2E"/>
          <w:sz w:val="20"/>
          <w:szCs w:val="20"/>
        </w:rPr>
        <w:t xml:space="preserve">This was confirmed on both the user-created 'Morgan Ruiz Cross-Fund Test' model and both pre-seeded models ('Morgan QA Downside', 'Base Case Stress Test') — all show 0 entities in scope. The seeded environment did not seed any entity-model relationships.</w:t>
      </w:r>
    </w:p>
    <w:p>
      <w:pPr>
        <w:spacing w:after="0" w:before="160"/>
      </w:pPr>
    </w:p>
    <w:p>
      <w:pPr>
        <w:pStyle w:val="Heading3"/>
        <w:spacing w:after="100" w:before="200"/>
      </w:pPr>
      <w:r>
        <w:rPr>
          <w:rFonts w:ascii="Arial" w:cs="Arial" w:eastAsia="Arial" w:hAnsi="Arial"/>
          <w:b/>
          <w:bCs/>
          <w:color w:val="0D3B66"/>
          <w:sz w:val="22"/>
          <w:szCs w:val="22"/>
        </w:rPr>
        <w:t xml:space="preserve">Test 10 — Assumption Overrides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tcPr>
          <w:p>
            <w:r>
              <w:rPr>
                <w:rFonts w:ascii="Arial" w:cs="Arial" w:eastAsia="Arial" w:hAnsi="Arial"/>
                <w:b/>
                <w:bCs/>
                <w:color w:val="FFFFFF"/>
                <w:sz w:val="18"/>
                <w:szCs w:val="18"/>
                <w:shd w:fill="C62828" w:val="clear"/>
              </w:rPr>
              <w:t xml:space="preserve"> FAIL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UI Present</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Assumptions tab shows raw key/value/fund-scope form. Key placeholder reads 'exit_cap_rate' — an appropriate RE example. Reason field is optional. 'Add Override' button is present.</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Fails On</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Fund-level scope only — there is no asset-level selector, no per-asset override granularity. 2) Submit attempt (key: 'revenue_growth', value: '0.10') returns a pink 'Internal error' banner with no detail, no field indication, no retry guidance.</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Missing</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Unit disambiguation (is '0.10' a decimal percentage or a dollar value?), asset-level override rows, error message specificity, validation feedback before submission.</w:t>
            </w:r>
          </w:p>
        </w:tc>
      </w:tr>
    </w:tbl>
    <w:p>
      <w:pPr>
        <w:spacing w:after="0" w:before="160"/>
      </w:pPr>
    </w:p>
    <w:p>
      <w:pPr>
        <w:pStyle w:val="Heading3"/>
        <w:spacing w:after="100" w:before="200"/>
      </w:pPr>
      <w:r>
        <w:rPr>
          <w:rFonts w:ascii="Arial" w:cs="Arial" w:eastAsia="Arial" w:hAnsi="Arial"/>
          <w:b/>
          <w:bCs/>
          <w:color w:val="0D3B66"/>
          <w:sz w:val="22"/>
          <w:szCs w:val="22"/>
        </w:rPr>
        <w:t xml:space="preserve">Test 11 — Scenario Run + Results (Fund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tcPr>
          <w:p>
            <w:r>
              <w:rPr>
                <w:rFonts w:ascii="Arial" w:cs="Arial" w:eastAsia="Arial" w:hAnsi="Arial"/>
                <w:b/>
                <w:bCs/>
                <w:color w:val="FFFFFF"/>
                <w:sz w:val="18"/>
                <w:szCs w:val="18"/>
                <w:shd w:fill="C62828" w:val="clear"/>
              </w:rPr>
              <w:t xml:space="preserve"> FAIL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Fund Impact Tab</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 (empty state only): Shows clean 'Run the model to see side-by-side comparison of Base vs Model results' with a Run Model CTA button. Proper empty state copy.</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Monte Carlo Tab</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 (empty state only): Shows 'Monte Carlo Risk Analysis — Run a Monte Carlo simulation to generate risk distributions and key percentiles.' Configurable Simulations (1000) and Seed (42) inputs. Clean, purpose-clear UI.</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Model — User Model</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'Morgan Ruiz Cross-Fund Test' (0 entities): Click 'Run Model' → pink 'Internal error' banner. No error detail, no error code, no guidance.</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Model — Seeded Model</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'Morgan QA Downside' (0 entities, pre-seeded): Click 'Run Model' → SILENT FAILURE. No toast, no banner, no spinner, no state change. Worse UX than the 'Internal error' case. Network tracking not available at time of test.</w:t>
            </w:r>
          </w:p>
        </w:tc>
      </w:tr>
    </w:tbl>
    <w:p>
      <w:pPr>
        <w:spacing w:after="0" w:before="160"/>
      </w:pPr>
    </w:p>
    <w:p>
      <w:pPr>
        <w:pStyle w:val="Heading3"/>
        <w:spacing w:after="100" w:before="200"/>
      </w:pPr>
      <w:r>
        <w:rPr>
          <w:rFonts w:ascii="Arial" w:cs="Arial" w:eastAsia="Arial" w:hAnsi="Arial"/>
          <w:b/>
          <w:bCs/>
          <w:color w:val="0D3B66"/>
          <w:sz w:val="22"/>
          <w:szCs w:val="22"/>
        </w:rPr>
        <w:t xml:space="preserve">Test 12 — Clone + Compare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tcPr>
          <w:p>
            <w:r>
              <w:rPr>
                <w:rFonts w:ascii="Arial" w:cs="Arial" w:eastAsia="Arial" w:hAnsi="Arial"/>
                <w:b/>
                <w:bCs/>
                <w:color w:val="FFFFFF"/>
                <w:sz w:val="18"/>
                <w:szCs w:val="18"/>
                <w:shd w:fill="C62828" w:val="clear"/>
              </w:rPr>
              <w:t xml:space="preserve"> FAIL — FEATURE ABSENT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Observed</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Model list rows show Name, Strategy, Status, Created columns only. Hover over rows reveals no action buttons, no kebab/overflow menu, no 'Clone' affordance. Zoom inspection confirms zero interactive elements on list rows beyond the row click itself (which opens the model detail).</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Impact</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Clone-to-compare is a core PE modeling workflow — analysts build a base case, clone it, stress assumptions, and compare outputs. Without clone, each scenario must be built from scratch, which multiplies manual effort and introduces consistency risk. This feature is not missing — it does not appear to have been built yet.</w:t>
            </w:r>
          </w:p>
        </w:tc>
      </w:tr>
    </w:tbl>
    <w:p>
      <w:pPr>
        <w:spacing w:after="0" w:before="160"/>
      </w:pPr>
    </w:p>
    <w:p>
      <w:pPr>
        <w:pStyle w:val="Heading3"/>
        <w:spacing w:after="100" w:before="200"/>
      </w:pPr>
      <w:r>
        <w:rPr>
          <w:rFonts w:ascii="Arial" w:cs="Arial" w:eastAsia="Arial" w:hAnsi="Arial"/>
          <w:b/>
          <w:bCs/>
          <w:color w:val="0D3B66"/>
          <w:sz w:val="22"/>
          <w:szCs w:val="22"/>
        </w:rPr>
        <w:t xml:space="preserve">Test 13 —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8080"/>
            <w:tcBorders>
              <w:top w:val="single" w:color="BDBDBD" w:sz="1"/>
              <w:left w:val="single" w:color="BDBDBD" w:sz="1"/>
              <w:bottom w:val="single" w:color="BDBDBD" w:sz="1"/>
              <w:right w:val="single" w:color="BDBDBD" w:sz="1"/>
            </w:tcBorders>
            <w:shd w:fill="FDECEA" w:val="clear"/>
            <w:tcMar>
              <w:top w:type="dxa" w:w="80"/>
              <w:left w:type="dxa" w:w="120"/>
              <w:bottom w:type="dxa" w:w="80"/>
              <w:right w:type="dxa" w:w="120"/>
            </w:tcMar>
          </w:tcPr>
          <w:p>
            <w:r>
              <w:rPr>
                <w:rFonts w:ascii="Arial" w:cs="Arial" w:eastAsia="Arial" w:hAnsi="Arial"/>
                <w:b/>
                <w:bCs/>
                <w:color w:val="FFFFFF"/>
                <w:sz w:val="18"/>
                <w:szCs w:val="18"/>
                <w:shd w:fill="C62828" w:val="clear"/>
              </w:rPr>
              <w:t xml:space="preserve"> FAIL </w:t>
            </w:r>
          </w:p>
        </w:tc>
      </w:tr>
      <w:tr>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Duplicate Name</w:t>
            </w:r>
          </w:p>
        </w:tc>
        <w:tc>
          <w:tcPr>
            <w:tcW w:type="dxa" w:w="8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Submitted 'Morgan QA Downside' as a new model name — an exact duplicate of an existing model. Result: accepted without warning. Two models now exist with the identical name, distinguishable only by UUID. No client-side or server-side duplicate name validation.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Run with 0 Entities</w:t>
            </w:r>
          </w:p>
        </w:tc>
        <w:tc>
          <w:tcPr>
            <w:tcW w:type="dxa" w:w="8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Clicking 'Run Model' with 0 in-scope entities produces a generic 'Internal error' with no blocking message. Expected: 'Cannot run model with no entities in scope' or a disabled Run button until entities are added.</w:t>
            </w:r>
          </w:p>
        </w:tc>
      </w:tr>
    </w:tbl>
    <w:p>
      <w:r>
        <w:br w:type="page"/>
      </w:r>
    </w:p>
    <w:p>
      <w:pPr>
        <w:pStyle w:val="Heading1"/>
        <w:spacing w:after="180" w:before="360"/>
      </w:pPr>
      <w:r>
        <w:rPr>
          <w:rFonts w:ascii="Arial" w:cs="Arial" w:eastAsia="Arial" w:hAnsi="Arial"/>
          <w:b/>
          <w:bCs/>
          <w:color w:val="0D3B66"/>
          <w:sz w:val="32"/>
          <w:szCs w:val="32"/>
        </w:rPr>
        <w:t xml:space="preserve">5. Prioritized Fix List</w:t>
      </w:r>
    </w:p>
    <w:p>
      <w:pPr>
        <w:spacing w:after="100" w:before="60"/>
      </w:pPr>
      <w:r>
        <w:rPr>
          <w:rFonts w:ascii="Arial" w:cs="Arial" w:eastAsia="Arial" w:hAnsi="Arial"/>
          <w:color w:val="1A1A2E"/>
          <w:sz w:val="20"/>
          <w:szCs w:val="20"/>
        </w:rPr>
        <w:t xml:space="preserve">Fixes are ranked by severity × user impact. P0 = ship-blocker, P1 = critical workflow gap, P2 = significant UX debt, P3 = polish.</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260"/>
        <w:gridCol w:w="2000"/>
        <w:gridCol w:w="2000"/>
        <w:gridCol w:w="720"/>
      </w:tblGrid>
      <w:tr>
        <w:tc>
          <w:tcPr>
            <w:tcW w:type="dxa" w:w="9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w:t>
            </w:r>
          </w:p>
        </w:tc>
        <w:tc>
          <w:tcPr>
            <w:tcW w:type="dxa" w:w="1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26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Fix</w:t>
            </w:r>
          </w:p>
        </w:tc>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 Est.</w:t>
            </w:r>
          </w:p>
        </w:tc>
        <w:tc>
          <w:tcPr>
            <w:tcW w:type="dxa" w:w="72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900"/>
            <w:tcBorders>
              <w:top w:val="single" w:color="BDBDBD" w:sz="1"/>
              <w:left w:val="single" w:color="BDBDBD" w:sz="1"/>
              <w:bottom w:val="single" w:color="BDBDBD" w:sz="1"/>
              <w:right w:val="single" w:color="BDBDBD"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BUG-001</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Add missing 'industry_type' column migration to StonePDS workspace table (or revert query)</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Unlocks all 7 Phase 1 tests; unblocks /pds, /legal</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30 min DB migration</w:t>
            </w:r>
          </w:p>
        </w:tc>
      </w:tr>
      <w:tr>
        <w:tc>
          <w:tcPr>
            <w:tcW w:type="dxa" w:w="900"/>
            <w:tcBorders>
              <w:top w:val="single" w:color="BDBDBD" w:sz="1"/>
              <w:left w:val="single" w:color="BDBDBD" w:sz="1"/>
              <w:bottom w:val="single" w:color="BDBDBD" w:sz="1"/>
              <w:right w:val="single" w:color="BDBDBD"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BUG-002</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Fix nav freeze after crash — clicking nav icons must navigate away from error state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Prevents session recovery without URL manipulation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 day</w:t>
            </w:r>
          </w:p>
        </w:tc>
      </w:tr>
      <w:tr>
        <w:tc>
          <w:tcPr>
            <w:tcW w:type="dxa" w:w="9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UX-001</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Build in-UI asset/entity scope picker on Scope tab (fund multi-select + asset list)</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Core workflow — nothing downstream works without scope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1–2 sprints</w:t>
            </w:r>
          </w:p>
        </w:tc>
      </w:tr>
      <w:tr>
        <w:tc>
          <w:tcPr>
            <w:tcW w:type="dxa" w:w="9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BUG-003</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Fix 'Internal error' on assumption override save — add error detail + server-side validation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Assumptions tab is currently non-functional</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1–3 days</w:t>
            </w:r>
          </w:p>
        </w:tc>
      </w:tr>
      <w:tr>
        <w:tc>
          <w:tcPr>
            <w:tcW w:type="dxa" w:w="9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BUG-004</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Fix 'Run Model' — replace generic Internal error with specific blocked-state messaging</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Run is the core value delivery moment; silent/generic failure is unacceptable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1–3 days</w:t>
            </w:r>
          </w:p>
        </w:tc>
      </w:tr>
      <w:tr>
        <w:tc>
          <w:tcPr>
            <w:tcW w:type="dxa" w:w="900"/>
            <w:tcBorders>
              <w:top w:val="single" w:color="BDBDBD" w:sz="1"/>
              <w:left w:val="single" w:color="BDBDBD" w:sz="1"/>
              <w:bottom w:val="single" w:color="BDBDBD" w:sz="1"/>
              <w:right w:val="single" w:color="BDBDB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BUG-005</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Guard 'Run Model' button — disable or block with validation message when 0 entities in scope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Prevents nonsensical run attempts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4 hours</w:t>
            </w:r>
          </w:p>
        </w:tc>
      </w:tr>
      <w:tr>
        <w:tc>
          <w:tcPr>
            <w:tcW w:type="dxa" w:w="900"/>
            <w:tcBorders>
              <w:top w:val="single" w:color="BDBDBD" w:sz="1"/>
              <w:left w:val="single" w:color="BDBDBD" w:sz="1"/>
              <w:bottom w:val="single" w:color="BDBDBD" w:sz="1"/>
              <w:right w:val="single" w:color="BDBDBD" w:sz="1"/>
            </w:tcBorders>
            <w:shd w:fill="58585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FEAT-001</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Add Clone Model capability — from list row actions (kebab menu) + detail page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PE modeling core pattern; essential for scenario comparison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 sprint</w:t>
            </w:r>
          </w:p>
        </w:tc>
      </w:tr>
      <w:tr>
        <w:tc>
          <w:tcPr>
            <w:tcW w:type="dxa" w:w="900"/>
            <w:tcBorders>
              <w:top w:val="single" w:color="BDBDBD" w:sz="1"/>
              <w:left w:val="single" w:color="BDBDBD" w:sz="1"/>
              <w:bottom w:val="single" w:color="BDBDBD" w:sz="1"/>
              <w:right w:val="single" w:color="BDBDBD" w:sz="1"/>
            </w:tcBorders>
            <w:shd w:fill="58585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UX-002</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Add duplicate model name validation (client-side pre-check + server-side 409 guard)</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Data integrity; prevents model confusion in shared environments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 day</w:t>
            </w:r>
          </w:p>
        </w:tc>
      </w:tr>
      <w:tr>
        <w:tc>
          <w:tcPr>
            <w:tcW w:type="dxa" w:w="900"/>
            <w:tcBorders>
              <w:top w:val="single" w:color="BDBDBD" w:sz="1"/>
              <w:left w:val="single" w:color="BDBDBD" w:sz="1"/>
              <w:bottom w:val="single" w:color="BDBDBD" w:sz="1"/>
              <w:right w:val="single" w:color="BDBDBD" w:sz="1"/>
            </w:tcBorders>
            <w:shd w:fill="58585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UX-003</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Add asset-level override rows in Assumptions tab (entity selector per override)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Fund-level only is insufficient for asset-specific stress testing</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1–2 sprints</w:t>
            </w:r>
          </w:p>
        </w:tc>
      </w:tr>
      <w:tr>
        <w:tc>
          <w:tcPr>
            <w:tcW w:type="dxa" w:w="900"/>
            <w:tcBorders>
              <w:top w:val="single" w:color="BDBDBD" w:sz="1"/>
              <w:left w:val="single" w:color="BDBDBD" w:sz="1"/>
              <w:bottom w:val="single" w:color="BDBDBD" w:sz="1"/>
              <w:right w:val="single" w:color="BDBDBD" w:sz="1"/>
            </w:tcBorders>
            <w:shd w:fill="58585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UX-004</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Add unit disambiguation to override value fields (% vs $ labels or input suffix)</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Removes ambiguity for financial inputs</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4 hours</w:t>
            </w:r>
          </w:p>
        </w:tc>
      </w:tr>
      <w:tr>
        <w:tc>
          <w:tcPr>
            <w:tcW w:type="dxa" w:w="900"/>
            <w:tcBorders>
              <w:top w:val="single" w:color="BDBDBD" w:sz="1"/>
              <w:left w:val="single" w:color="BDBDBD" w:sz="1"/>
              <w:bottom w:val="single" w:color="BDBDBD" w:sz="1"/>
              <w:right w:val="single" w:color="BDBDBD"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UX-005</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Update Models page subtitle from 'fund-level' to 'cross-fund' to match product intent</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Labeling inconsistency vs. stated use case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30 min</w:t>
            </w:r>
          </w:p>
        </w:tc>
      </w:tr>
      <w:tr>
        <w:tc>
          <w:tcPr>
            <w:tcW w:type="dxa" w:w="900"/>
            <w:tcBorders>
              <w:top w:val="single" w:color="BDBDBD" w:sz="1"/>
              <w:left w:val="single" w:color="BDBDBD" w:sz="1"/>
              <w:bottom w:val="single" w:color="BDBDBD" w:sz="1"/>
              <w:right w:val="single" w:color="BDBDBD" w:sz="1"/>
            </w:tcBorders>
            <w:shd w:fill="9E9E9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b/>
                <w:bCs/>
                <w:sz w:val="18"/>
                <w:szCs w:val="18"/>
              </w:rPr>
              <w:t xml:space="preserve">UX-006</w:t>
            </w:r>
          </w:p>
        </w:tc>
        <w:tc>
          <w:tcPr>
            <w:tcW w:type="dxa" w:w="326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sz w:val="20"/>
                <w:szCs w:val="20"/>
              </w:rPr>
              <w:t xml:space="preserve">Seed entity-model relationships so seeded models have entities in scope out-of-box</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QA and demo environments should demonstrate full workflow</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r>
              <w:rPr>
                <w:rFonts w:ascii="Arial" w:cs="Arial" w:eastAsia="Arial" w:hAnsi="Arial"/>
                <w:color w:val="616161"/>
                <w:sz w:val="18"/>
                <w:szCs w:val="18"/>
              </w:rPr>
              <w:t xml:space="preserve">2 hours</w:t>
            </w:r>
          </w:p>
        </w:tc>
      </w:tr>
    </w:tbl>
    <w:p>
      <w:r>
        <w:br w:type="page"/>
      </w:r>
    </w:p>
    <w:p>
      <w:pPr>
        <w:pStyle w:val="Heading1"/>
        <w:spacing w:after="180" w:before="360"/>
      </w:pPr>
      <w:r>
        <w:rPr>
          <w:rFonts w:ascii="Arial" w:cs="Arial" w:eastAsia="Arial" w:hAnsi="Arial"/>
          <w:b/>
          <w:bCs/>
          <w:color w:val="0D3B66"/>
          <w:sz w:val="32"/>
          <w:szCs w:val="32"/>
        </w:rPr>
        <w:t xml:space="preserve">6. Appendix — Test Environment Details</w:t>
      </w:r>
    </w:p>
    <w:p>
      <w:pPr>
        <w:pStyle w:val="Heading2"/>
        <w:spacing w:after="120" w:before="280"/>
      </w:pPr>
      <w:r>
        <w:rPr>
          <w:rFonts w:ascii="Arial" w:cs="Arial" w:eastAsia="Arial" w:hAnsi="Arial"/>
          <w:b/>
          <w:bCs/>
          <w:color w:val="1565C0"/>
          <w:sz w:val="26"/>
          <w:szCs w:val="26"/>
        </w:rPr>
        <w:t xml:space="preserve">6.1 Environments Accessed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3400"/>
      </w:tblGrid>
      <w:tr>
        <w:tc>
          <w:tcPr>
            <w:tcW w:type="dxa" w:w="28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 Name</w:t>
            </w:r>
          </w:p>
        </w:tc>
        <w:tc>
          <w:tcPr>
            <w:tcW w:type="dxa" w:w="38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UUID</w:t>
            </w:r>
          </w:p>
        </w:tc>
        <w:tc>
          <w:tcPr>
            <w:tcW w:type="dxa" w:w="34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Path</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StonePDS</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a2ac9edd-fa26-4ca0-bf96-f64f1fee91f2</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/lab/env/{uuid}/pds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Apex Holdings</w:t>
            </w:r>
          </w:p>
        </w:tc>
        <w:tc>
          <w:tcPr>
            <w:tcW w:type="dxa" w:w="38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0f2b6f58-57c2-4a54-8b11-4fda7fd72510</w:t>
            </w:r>
          </w:p>
        </w:tc>
        <w:tc>
          <w:tcPr>
            <w:tcW w:type="dxa" w:w="3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/lab/env/{uuid}/ecc</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Capital Mgmt</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a1b2c3d4-0001-0001-0003-000000000001</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/lab/env/{uuid}/re</w:t>
            </w:r>
          </w:p>
        </w:tc>
      </w:tr>
    </w:tbl>
    <w:p>
      <w:pPr>
        <w:spacing w:after="0" w:before="200"/>
      </w:pPr>
    </w:p>
    <w:p>
      <w:pPr>
        <w:pStyle w:val="Heading2"/>
        <w:spacing w:after="120" w:before="280"/>
      </w:pPr>
      <w:r>
        <w:rPr>
          <w:rFonts w:ascii="Arial" w:cs="Arial" w:eastAsia="Arial" w:hAnsi="Arial"/>
          <w:b/>
          <w:bCs/>
          <w:color w:val="1565C0"/>
          <w:sz w:val="26"/>
          <w:szCs w:val="26"/>
        </w:rPr>
        <w:t xml:space="preserve">6.2 Models Created/Modified During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1500"/>
        <w:gridCol w:w="1500"/>
      </w:tblGrid>
      <w:tr>
        <w:tc>
          <w:tcPr>
            <w:tcW w:type="dxa" w:w="3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 Name</w:t>
            </w:r>
          </w:p>
        </w:tc>
        <w:tc>
          <w:tcPr>
            <w:tcW w:type="dxa" w:w="38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UUID</w:t>
            </w:r>
          </w:p>
        </w:tc>
        <w:tc>
          <w:tcPr>
            <w:tcW w:type="dxa" w:w="15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5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Morgan Ruiz Cross-Fund Test</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68bc0a2c-341b-447b-9413-11c385ddf58f</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draft</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Created by tester</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Morgan QA Downside (duplicate)</w:t>
            </w:r>
          </w:p>
        </w:tc>
        <w:tc>
          <w:tcPr>
            <w:tcW w:type="dxa" w:w="38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UUID — duplicate name test)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draft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Duplicate name test — should be cleaned up</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Morgan QA Downside (pre-seeded)</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0903b5a8-a420-433c-af5b-2aaecb9d05fc</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draft</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Pre-existing seed data</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Base Case Stress Test (pre-seeded)</w:t>
            </w:r>
          </w:p>
        </w:tc>
        <w:tc>
          <w:tcPr>
            <w:tcW w:type="dxa" w:w="38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 recorded)</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draft</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Pre-existing seed data</w:t>
            </w:r>
          </w:p>
        </w:tc>
      </w:tr>
    </w:tbl>
    <w:p>
      <w:pPr>
        <w:spacing w:after="0" w:before="200"/>
      </w:pPr>
    </w:p>
    <w:p>
      <w:pPr>
        <w:pStyle w:val="Heading2"/>
        <w:spacing w:after="120" w:before="280"/>
      </w:pPr>
      <w:r>
        <w:rPr>
          <w:rFonts w:ascii="Arial" w:cs="Arial" w:eastAsia="Arial" w:hAnsi="Arial"/>
          <w:b/>
          <w:bCs/>
          <w:color w:val="1565C0"/>
          <w:sz w:val="26"/>
          <w:szCs w:val="26"/>
        </w:rPr>
        <w:t xml:space="preserve">6.3 RE Seeded Fund Data (Meridian Capital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000"/>
        <w:gridCol w:w="1000"/>
        <w:gridCol w:w="1200"/>
        <w:gridCol w:w="1600"/>
        <w:gridCol w:w="1000"/>
      </w:tblGrid>
      <w:tr>
        <w:tc>
          <w:tcPr>
            <w:tcW w:type="dxa" w:w="36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Fund Name</w:t>
            </w:r>
          </w:p>
        </w:tc>
        <w:tc>
          <w:tcPr>
            <w:tcW w:type="dxa" w:w="168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UUID (partial)</w:t>
            </w:r>
          </w:p>
        </w:tc>
        <w:tc>
          <w:tcPr>
            <w:tcW w:type="dxa" w:w="1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AUM</w:t>
            </w:r>
          </w:p>
        </w:tc>
        <w:tc>
          <w:tcPr>
            <w:tcW w:type="dxa" w:w="1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DPI</w:t>
            </w:r>
          </w:p>
        </w:tc>
        <w:tc>
          <w:tcPr>
            <w:tcW w:type="dxa" w:w="12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TVPI</w:t>
            </w:r>
          </w:p>
        </w:tc>
        <w:tc>
          <w:tcPr>
            <w:tcW w:type="dxa" w:w="16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Commitments</w:t>
            </w:r>
          </w:p>
        </w:tc>
        <w:tc>
          <w:tcPr>
            <w:tcW w:type="dxa" w:w="1000"/>
            <w:tcBorders>
              <w:top w:val="single" w:color="BDBDBD" w:sz="1"/>
              <w:left w:val="single" w:color="BDBDBD" w:sz="1"/>
              <w:bottom w:val="single" w:color="BDBDBD" w:sz="1"/>
              <w:right w:val="single" w:color="BDBDBD" w:sz="1"/>
            </w:tcBorders>
            <w:shd w:fill="0D3B6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NAV</w:t>
            </w:r>
          </w:p>
        </w:tc>
      </w:tr>
      <w:tr>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Institutional Growth Fund VII</w:t>
            </w:r>
          </w:p>
        </w:tc>
        <w:tc>
          <w:tcPr>
            <w:tcW w:type="dxa" w:w="1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...0030-0001</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$500M</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0.08x</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1.08x</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r>
      <w:tr>
        <w:tc>
          <w:tcPr>
            <w:tcW w:type="dxa" w:w="3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Real Estate Fund III</w:t>
            </w:r>
          </w:p>
        </w:tc>
        <w:tc>
          <w:tcPr>
            <w:tcW w:type="dxa" w:w="1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...0010-0001</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$900M</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0.14x</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1.21x</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r>
      <w:tr>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Meridian Credit Opportunities Fund I</w:t>
            </w:r>
          </w:p>
        </w:tc>
        <w:tc>
          <w:tcPr>
            <w:tcW w:type="dxa" w:w="1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...0020-0001</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$600M</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0.14x</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1.21x</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r>
      <w:tr>
        <w:tc>
          <w:tcPr>
            <w:tcW w:type="dxa" w:w="36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TOTAL</w:t>
            </w:r>
          </w:p>
        </w:tc>
        <w:tc>
          <w:tcPr>
            <w:tcW w:type="dxa" w:w="168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0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$2.0B</w:t>
            </w:r>
          </w:p>
        </w:tc>
        <w:tc>
          <w:tcPr>
            <w:tcW w:type="dxa" w:w="10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2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16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$2.0B</w:t>
            </w:r>
          </w:p>
        </w:tc>
        <w:tc>
          <w:tcPr>
            <w:tcW w:type="dxa" w:w="1000"/>
            <w:tcBorders>
              <w:top w:val="single" w:color="BDBDBD" w:sz="1"/>
              <w:left w:val="single" w:color="BDBDBD" w:sz="1"/>
              <w:bottom w:val="single" w:color="BDBDBD" w:sz="1"/>
              <w:right w:val="single" w:color="BDBDBD" w:sz="1"/>
            </w:tcBorders>
            <w:shd w:fill="D6E8F7"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$1.7B</w:t>
            </w:r>
          </w:p>
        </w:tc>
      </w:tr>
    </w:tbl>
    <w:p>
      <w:pPr>
        <w:spacing w:after="0" w:before="300"/>
      </w:pPr>
    </w:p>
    <w:p>
      <w:pPr>
        <w:pBdr>
          <w:bottom w:val="single" w:color="BDBDBD" w:sz="6"/>
        </w:pBdr>
        <w:spacing w:after="80" w:before="80"/>
      </w:pPr>
    </w:p>
    <w:p>
      <w:pPr>
        <w:spacing w:after="0" w:before="100"/>
      </w:pPr>
    </w:p>
    <w:p>
      <w:pPr>
        <w:jc w:val="center"/>
      </w:pPr>
      <w:r>
        <w:rPr>
          <w:rFonts w:ascii="Arial" w:cs="Arial" w:eastAsia="Arial" w:hAnsi="Arial"/>
          <w:i/>
          <w:iCs/>
          <w:color w:val="616161"/>
          <w:sz w:val="18"/>
          <w:szCs w:val="18"/>
        </w:rPr>
        <w:t xml:space="preserve">End of Report — Morgan Ruiz QA Audit — March 4,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6"/>
      </w:pBdr>
      <w:jc w:val="right"/>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6"/>
      </w:pBdr>
    </w:pPr>
    <w:r>
      <w:rPr>
        <w:rFonts w:ascii="Arial" w:cs="Arial" w:eastAsia="Arial" w:hAnsi="Arial"/>
        <w:color w:val="616161"/>
        <w:sz w:val="16"/>
        <w:szCs w:val="16"/>
      </w:rPr>
      <w:t xml:space="preserve">WINSTON QA AUDIT  |  Morgan Ruiz  |  March 4, 2026</w:t>
    </w:r>
    <w:r>
      <w:rPr>
        <w:rFonts w:ascii="Arial" w:cs="Arial" w:eastAsia="Arial" w:hAnsi="Arial"/>
        <w:b/>
        <w:bCs/>
        <w:color w:val="C6282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3B6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3B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2026-03-04T15:20:23.940Z</dcterms:created>
  <dcterms:modified xsi:type="dcterms:W3CDTF">2026-03-04T15:20:23.941Z</dcterms:modified>
</cp:coreProperties>
</file>

<file path=docProps/custom.xml><?xml version="1.0" encoding="utf-8"?>
<Properties xmlns="http://schemas.openxmlformats.org/officeDocument/2006/custom-properties" xmlns:vt="http://schemas.openxmlformats.org/officeDocument/2006/docPropsVTypes"/>
</file>