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326F5" w14:textId="77777777" w:rsidR="00640C1C" w:rsidRPr="00640C1C" w:rsidRDefault="00640C1C" w:rsidP="00640C1C">
      <w:pPr>
        <w:rPr>
          <w:b/>
          <w:bCs/>
        </w:rPr>
      </w:pPr>
      <w:r w:rsidRPr="00640C1C">
        <w:rPr>
          <w:b/>
          <w:bCs/>
        </w:rPr>
        <w:t>CAPÍTULO IV</w:t>
      </w:r>
    </w:p>
    <w:p w14:paraId="144A7998" w14:textId="6C62D386" w:rsidR="00640C1C" w:rsidRPr="00640C1C" w:rsidRDefault="00640C1C" w:rsidP="00640C1C">
      <w:pPr>
        <w:rPr>
          <w:b/>
          <w:bCs/>
        </w:rPr>
      </w:pPr>
      <w:r w:rsidRPr="00640C1C">
        <w:rPr>
          <w:b/>
          <w:bCs/>
        </w:rPr>
        <w:t>Diseño de la estructura electrónica del sistema AUTOAMBU</w:t>
      </w:r>
    </w:p>
    <w:p w14:paraId="77118CF0" w14:textId="77777777" w:rsidR="00640C1C" w:rsidRPr="00640C1C" w:rsidRDefault="00640C1C" w:rsidP="00640C1C">
      <w:pPr>
        <w:rPr>
          <w:b/>
          <w:bCs/>
        </w:rPr>
      </w:pPr>
      <w:r w:rsidRPr="00640C1C">
        <w:rPr>
          <w:b/>
          <w:bCs/>
        </w:rPr>
        <w:t>Introducción</w:t>
      </w:r>
    </w:p>
    <w:p w14:paraId="7758D7CF" w14:textId="2A2FDBB2" w:rsidR="00640C1C" w:rsidRPr="00640C1C" w:rsidRDefault="00640C1C" w:rsidP="00640C1C">
      <w:r w:rsidRPr="00640C1C">
        <w:t>El sistema AUTOAMBU fue concebido como un asistidor respiratorio automatizado capaz de controlar el proceso de compresión de un resucitador manual tipo Ambu mediante una plataforma electrónica integrada. El diseño electrónico constituye el núcleo del sistema, ya que es responsable de coordinar la adquisición de datos, el procesamiento de información, el control de los actuadores y la administración de la alimentación eléctrica, garantizando un funcionamiento estable y seguro.</w:t>
      </w:r>
    </w:p>
    <w:p w14:paraId="265C0D86" w14:textId="7A04F24F" w:rsidR="00640C1C" w:rsidRPr="00640C1C" w:rsidRDefault="00640C1C" w:rsidP="00640C1C">
      <w:r w:rsidRPr="00640C1C">
        <w:t xml:space="preserve">El desarrollo de la arquitectura electrónica se realizó bajo criterios de confiabilidad, modularidad y facilidad de manufactura, buscando minimizar las pérdidas eléctricas, mejorar la inmunidad frente al ruido electromagnético y optimizar la distribución térmica de los componentes de potencia. Para alcanzar estos objetivos se empleó el software </w:t>
      </w:r>
      <w:proofErr w:type="spellStart"/>
      <w:r w:rsidRPr="00640C1C">
        <w:t>KiCad</w:t>
      </w:r>
      <w:proofErr w:type="spellEnd"/>
      <w:r w:rsidRPr="00640C1C">
        <w:t xml:space="preserve"> como herramienta de diseño asistido por computadora (CAD), permitiendo desarrollar el esquema eléctrico, la placa de circuito impreso (PCB) y la documentación necesaria para su fabricación.</w:t>
      </w:r>
    </w:p>
    <w:p w14:paraId="347F81C2" w14:textId="3FDE2B39" w:rsidR="00640C1C" w:rsidRPr="00640C1C" w:rsidRDefault="00640C1C" w:rsidP="00640C1C">
      <w:r w:rsidRPr="00640C1C">
        <w:t>Durante el diseño se aplicaron criterios basados en las recomendaciones de las normas IPC para el dimensionamiento de pistas, separación entre conductores, distribución de componentes y uso de planos de tierra, así como las guías de diseño proporcionadas por los fabricantes de los principales circuitos integrados utilizados en el sistema. Estas prácticas permitieron obtener una tarjeta electrónica orientada a manufactura, con un alto nivel de integración y preparada para operar de manera confiable en aplicaciones de control embebido.</w:t>
      </w:r>
    </w:p>
    <w:p w14:paraId="471C259E" w14:textId="46657D61" w:rsidR="00640C1C" w:rsidRPr="00640C1C" w:rsidRDefault="00415A75">
      <w:r w:rsidRPr="00415A75">
        <w:rPr>
          <w:b/>
          <w:bCs/>
        </w:rPr>
        <w:t xml:space="preserve">Figura </w:t>
      </w:r>
      <w:r>
        <w:rPr>
          <w:b/>
          <w:bCs/>
        </w:rPr>
        <w:t>#_#</w:t>
      </w:r>
      <w:r w:rsidRPr="00415A75">
        <w:rPr>
          <w:b/>
          <w:bCs/>
        </w:rPr>
        <w:t>.</w:t>
      </w:r>
      <w:r w:rsidRPr="00415A75">
        <w:t xml:space="preserve"> Diseño final de la placa de circuito impreso (PCB) del sistema AUTOAMBU.</w:t>
      </w:r>
    </w:p>
    <w:p w14:paraId="0F4CC068" w14:textId="31EF23A8" w:rsidR="00640C1C" w:rsidRDefault="00640C1C">
      <w:pPr>
        <w:rPr>
          <w:noProof/>
        </w:rPr>
      </w:pPr>
      <w:r w:rsidRPr="00640C1C">
        <w:rPr>
          <w:noProof/>
        </w:rPr>
        <w:drawing>
          <wp:anchor distT="0" distB="0" distL="114300" distR="114300" simplePos="0" relativeHeight="251658240" behindDoc="1" locked="0" layoutInCell="1" allowOverlap="1" wp14:anchorId="3951692D" wp14:editId="3E37AA51">
            <wp:simplePos x="0" y="0"/>
            <wp:positionH relativeFrom="margin">
              <wp:align>left</wp:align>
            </wp:positionH>
            <wp:positionV relativeFrom="paragraph">
              <wp:posOffset>-48895</wp:posOffset>
            </wp:positionV>
            <wp:extent cx="3800475" cy="3800475"/>
            <wp:effectExtent l="0" t="0" r="9525" b="9525"/>
            <wp:wrapTight wrapText="bothSides">
              <wp:wrapPolygon edited="0">
                <wp:start x="0" y="0"/>
                <wp:lineTo x="0" y="21546"/>
                <wp:lineTo x="21546" y="21546"/>
                <wp:lineTo x="21546" y="0"/>
                <wp:lineTo x="0" y="0"/>
              </wp:wrapPolygon>
            </wp:wrapTight>
            <wp:docPr id="76717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1412" t="2053" b="3902"/>
                    <a:stretch>
                      <a:fillRect/>
                    </a:stretch>
                  </pic:blipFill>
                  <pic:spPr bwMode="auto">
                    <a:xfrm>
                      <a:off x="0" y="0"/>
                      <a:ext cx="3800475" cy="3800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EE80E7" w14:textId="3ACE553E" w:rsidR="00640C1C" w:rsidRPr="00640C1C" w:rsidRDefault="00640C1C"/>
    <w:p w14:paraId="057F1112" w14:textId="77777777" w:rsidR="00640C1C" w:rsidRPr="00640C1C" w:rsidRDefault="00640C1C"/>
    <w:p w14:paraId="0AB5B420" w14:textId="77777777" w:rsidR="00640C1C" w:rsidRPr="00640C1C" w:rsidRDefault="00640C1C"/>
    <w:p w14:paraId="643BA976" w14:textId="77777777" w:rsidR="00640C1C" w:rsidRPr="00640C1C" w:rsidRDefault="00640C1C"/>
    <w:p w14:paraId="53C40226" w14:textId="77777777" w:rsidR="00640C1C" w:rsidRPr="00640C1C" w:rsidRDefault="00640C1C"/>
    <w:p w14:paraId="2A8A551D" w14:textId="77777777" w:rsidR="00640C1C" w:rsidRPr="00640C1C" w:rsidRDefault="00640C1C"/>
    <w:p w14:paraId="6EBFAB95" w14:textId="77777777" w:rsidR="00640C1C" w:rsidRPr="00640C1C" w:rsidRDefault="00640C1C"/>
    <w:p w14:paraId="3C29C368" w14:textId="77777777" w:rsidR="00640C1C" w:rsidRPr="00640C1C" w:rsidRDefault="00640C1C"/>
    <w:p w14:paraId="3CD6665F" w14:textId="77777777" w:rsidR="00640C1C" w:rsidRPr="00640C1C" w:rsidRDefault="00640C1C"/>
    <w:p w14:paraId="21A57930" w14:textId="77777777" w:rsidR="00640C1C" w:rsidRPr="00640C1C" w:rsidRDefault="00640C1C"/>
    <w:p w14:paraId="43967FC1" w14:textId="77777777" w:rsidR="00640C1C" w:rsidRPr="00640C1C" w:rsidRDefault="00640C1C"/>
    <w:p w14:paraId="1B3242AF" w14:textId="77777777" w:rsidR="00640C1C" w:rsidRDefault="00640C1C"/>
    <w:p w14:paraId="1A451F6B" w14:textId="065D7E6C" w:rsidR="00E36D2C" w:rsidRPr="00E36D2C" w:rsidRDefault="00E36D2C">
      <w:pPr>
        <w:rPr>
          <w:rFonts w:ascii="Arial" w:hAnsi="Arial" w:cs="Arial"/>
          <w:b/>
          <w:bCs/>
          <w:color w:val="EE0000"/>
        </w:rPr>
      </w:pPr>
      <w:r w:rsidRPr="00E36D2C">
        <w:rPr>
          <w:rFonts w:ascii="Arial" w:hAnsi="Arial" w:cs="Arial"/>
          <w:b/>
          <w:bCs/>
          <w:color w:val="EE0000"/>
        </w:rPr>
        <w:lastRenderedPageBreak/>
        <w:t>titulo</w:t>
      </w:r>
    </w:p>
    <w:p w14:paraId="479EC09A" w14:textId="0D142193" w:rsidR="00415A75" w:rsidRPr="0013388E" w:rsidRDefault="00415A75">
      <w:pPr>
        <w:rPr>
          <w:rFonts w:ascii="Arial" w:hAnsi="Arial" w:cs="Arial"/>
          <w:b/>
          <w:bCs/>
        </w:rPr>
      </w:pPr>
      <w:r w:rsidRPr="00415A75">
        <w:rPr>
          <w:rFonts w:ascii="Arial" w:hAnsi="Arial" w:cs="Arial"/>
          <w:b/>
          <w:bCs/>
        </w:rPr>
        <w:t>Arquitectura electrónica del sistema</w:t>
      </w:r>
    </w:p>
    <w:p w14:paraId="7B32708B" w14:textId="14697517" w:rsidR="00415A75" w:rsidRPr="00E36D2C" w:rsidRDefault="00E36D2C">
      <w:pPr>
        <w:rPr>
          <w:b/>
          <w:bCs/>
        </w:rPr>
      </w:pPr>
      <w:r w:rsidRPr="00E36D2C">
        <w:rPr>
          <w:b/>
          <w:bCs/>
        </w:rPr>
        <w:t>Interfaz de entrada y negociación de potencia (USB Tipo-C)</w:t>
      </w:r>
    </w:p>
    <w:p w14:paraId="45319A0C" w14:textId="2C3422BC" w:rsidR="00415A75" w:rsidRDefault="00E36D2C" w:rsidP="00E36D2C">
      <w:pPr>
        <w:jc w:val="both"/>
      </w:pPr>
      <w:r w:rsidRPr="00E36D2C">
        <w:rPr>
          <w:b/>
          <w:bCs/>
        </w:rPr>
        <w:t>Introducción</w:t>
      </w:r>
      <w:r w:rsidRPr="00E36D2C">
        <w:t xml:space="preserve"> El sistema AUTOAMBU emplea un conector USB Tipo-C de 16 pines como interfaz principal para la alimentación eléctrica del circuito. A diferencia de las implementaciones convencionales que operan a 5 V, este diseño incorpora un sistema de Power Delivery (PD) destinado a satisfacer las mayores demandas energéticas requeridas por la etapa de potencia y el accionamiento de los actuadores del dispositivo médico. El uso de este estándar garantiza una alta confiabilidad mecánica, reversibilidad de conexión y la capacidad de manejar mayores densidades de corriente.</w:t>
      </w:r>
    </w:p>
    <w:p w14:paraId="4529CC0A" w14:textId="2DBED593" w:rsidR="00E36D2C" w:rsidRPr="0013388E" w:rsidRDefault="00E36D2C" w:rsidP="00E36D2C">
      <w:pPr>
        <w:jc w:val="both"/>
        <w:rPr>
          <w:b/>
          <w:bCs/>
          <w:color w:val="EE0000"/>
        </w:rPr>
      </w:pPr>
      <w:r w:rsidRPr="00E36D2C">
        <w:rPr>
          <w:b/>
          <w:bCs/>
          <w:color w:val="EE0000"/>
        </w:rPr>
        <w:t>Colocar imagen del apartado del USB</w:t>
      </w:r>
    </w:p>
    <w:p w14:paraId="1709C430" w14:textId="77777777" w:rsidR="00E36D2C" w:rsidRPr="00E36D2C" w:rsidRDefault="00E36D2C" w:rsidP="00E36D2C">
      <w:pPr>
        <w:jc w:val="both"/>
      </w:pPr>
      <w:r w:rsidRPr="00E36D2C">
        <w:rPr>
          <w:b/>
          <w:bCs/>
        </w:rPr>
        <w:t>Negociación de potencia (Power Delivery)</w:t>
      </w:r>
      <w:r w:rsidRPr="00E36D2C">
        <w:t xml:space="preserve"> Para gestionar los requerimientos energéticos, el circuito incluye el circuito integrado CH224K, un controlador lógico (Sink Controller) diseñado para el protocolo USB Power Delivery. Este dispositivo se interconecta con las líneas de configuración del conector (CC1 y CC2) para establecer comunicación con la fuente externa y solicitar de manera activa un perfil de carga rápida.</w:t>
      </w:r>
    </w:p>
    <w:p w14:paraId="6CB812D7" w14:textId="4C76725F" w:rsidR="00E36D2C" w:rsidRPr="00E36D2C" w:rsidRDefault="00E36D2C" w:rsidP="00E36D2C">
      <w:pPr>
        <w:jc w:val="both"/>
      </w:pPr>
      <w:r w:rsidRPr="00E36D2C">
        <w:t>Mediante la configuración por hardware de sus pines de control (CFG1, CFG2 y CFG3), el controlador CH224K negocia una salida nominal de 15 V y una capacidad de corriente de hasta 3A. El pin Power Good (PG) se utiliza para señalizar el estado de la negociación hacia las siguientes etapas del sistema, garantizando que los reguladores posteriores solo operen cuando la fuente haya estabilizado la tensión solicitada.</w:t>
      </w:r>
    </w:p>
    <w:p w14:paraId="6E125376" w14:textId="77777777" w:rsidR="00E36D2C" w:rsidRDefault="00E36D2C"/>
    <w:p w14:paraId="3551F302" w14:textId="77777777" w:rsidR="00E36D2C" w:rsidRPr="00E36D2C" w:rsidRDefault="00E36D2C" w:rsidP="0013388E">
      <w:pPr>
        <w:jc w:val="both"/>
      </w:pPr>
      <w:r w:rsidRPr="00E36D2C">
        <w:rPr>
          <w:b/>
          <w:bCs/>
        </w:rPr>
        <w:t>Protección eléctrica y compatibilidad electromagnética (EMC)</w:t>
      </w:r>
      <w:r w:rsidRPr="00E36D2C">
        <w:t xml:space="preserve"> Considerando la naturaleza de la aplicación médica y los riesgos asociados a transitorios eléctricos durante la conexión del cable, la etapa de entrada fue diseñada con múltiples barreras de protección de estado sólido y filtrado pasivo:</w:t>
      </w:r>
    </w:p>
    <w:p w14:paraId="23E45657" w14:textId="77777777" w:rsidR="00E36D2C" w:rsidRDefault="00E36D2C" w:rsidP="0013388E">
      <w:pPr>
        <w:numPr>
          <w:ilvl w:val="0"/>
          <w:numId w:val="7"/>
        </w:numPr>
        <w:jc w:val="both"/>
      </w:pPr>
      <w:r w:rsidRPr="00E36D2C">
        <w:rPr>
          <w:b/>
          <w:bCs/>
        </w:rPr>
        <w:t>Supresión de transitorios (TVS):</w:t>
      </w:r>
      <w:r w:rsidRPr="00E36D2C">
        <w:t xml:space="preserve"> Se implementaron arreglos de diodos supresores de voltaje transitorio (TVS), modelo SM05.TCT, conectados estratégicamente a la línea de alimentación principal y a los canales de comunicación. Los diodos D1 y D4 actúan absorbiendo las descargas electrostáticas (ESD) y limitando los picos de sobretensión tanto en VBUS (V5_1 en el esquemático) como en las líneas CC1 y CC2, derivando la energía perjudicial hacia el plano de tierra antes de que alcance el controlador CH224K o el resto de los componentes sensibles.</w:t>
      </w:r>
    </w:p>
    <w:p w14:paraId="60CA69D5" w14:textId="50964DDB" w:rsidR="0013388E" w:rsidRPr="00E36D2C" w:rsidRDefault="0013388E" w:rsidP="0013388E">
      <w:pPr>
        <w:numPr>
          <w:ilvl w:val="0"/>
          <w:numId w:val="7"/>
        </w:numPr>
        <w:jc w:val="both"/>
      </w:pPr>
      <w:r w:rsidRPr="0013388E">
        <w:rPr>
          <w:b/>
          <w:bCs/>
        </w:rPr>
        <w:t>Aislamiento del chasis (Shield Grounding):</w:t>
      </w:r>
      <w:r w:rsidRPr="0013388E">
        <w:t xml:space="preserve"> Para mitigar la interferencia electromagnética (EMI), la carcasa metálica del conector (pines EH) no se conectó rígidamente al plano de tierra del sistema (GND). En su lugar, se diseñó una red de acoplamiento RC en paralelo, compuesta por capacitores de desacoplo de 0.1 µF y resistencias de 1 MΩ (R85 y R84). Esta topología permite drenar de forma segura las interferencias de radiofrecuencia (RF) captadas por el blindaje del cable, a la vez que previene la formación de lazos de tierra (ground loops) de baja frecuencia que podrían afectar la estabilidad analógica del circuito.</w:t>
      </w:r>
    </w:p>
    <w:p w14:paraId="63FBC0BB" w14:textId="77777777" w:rsidR="00E36D2C" w:rsidRDefault="00E36D2C"/>
    <w:p w14:paraId="2C97A647" w14:textId="06249326" w:rsidR="00E36D2C" w:rsidRDefault="00E143C8">
      <w:pPr>
        <w:rPr>
          <w:b/>
          <w:bCs/>
          <w:color w:val="EE0000"/>
        </w:rPr>
      </w:pPr>
      <w:r w:rsidRPr="00E143C8">
        <w:rPr>
          <w:b/>
          <w:bCs/>
          <w:color w:val="EE0000"/>
        </w:rPr>
        <w:lastRenderedPageBreak/>
        <w:t>Etapa 2</w:t>
      </w:r>
    </w:p>
    <w:p w14:paraId="2C67534E" w14:textId="0C092C35" w:rsidR="00E143C8" w:rsidRDefault="00E143C8" w:rsidP="008F729B">
      <w:pPr>
        <w:jc w:val="both"/>
        <w:rPr>
          <w:b/>
          <w:bCs/>
          <w:color w:val="000000" w:themeColor="text1"/>
        </w:rPr>
      </w:pPr>
      <w:r w:rsidRPr="00E143C8">
        <w:rPr>
          <w:b/>
          <w:bCs/>
          <w:color w:val="000000" w:themeColor="text1"/>
        </w:rPr>
        <w:t>Sistema de gestión de carga y selección de alimentación (Power Path)</w:t>
      </w:r>
    </w:p>
    <w:p w14:paraId="3F3755EA" w14:textId="352D1834" w:rsidR="00E36D2C" w:rsidRPr="00E143C8" w:rsidRDefault="00E143C8" w:rsidP="008F729B">
      <w:pPr>
        <w:jc w:val="both"/>
        <w:rPr>
          <w:b/>
          <w:bCs/>
          <w:color w:val="000000" w:themeColor="text1"/>
        </w:rPr>
      </w:pPr>
      <w:r w:rsidRPr="00E143C8">
        <w:rPr>
          <w:b/>
          <w:bCs/>
          <w:color w:val="000000" w:themeColor="text1"/>
        </w:rPr>
        <w:t xml:space="preserve">Introducción </w:t>
      </w:r>
      <w:r w:rsidRPr="00E143C8">
        <w:rPr>
          <w:color w:val="000000" w:themeColor="text1"/>
        </w:rPr>
        <w:t xml:space="preserve">La energía de 15 V proveniente del controlador de Power Delivery se dirige a la etapa de gestión de energía, la cual tiene dos propósitos fundamentales: administrar de manera segura el perfil de carga del paquete de baterías de iones de litio en configuración 3S (12.6 V) y garantizar la continuidad del suministro eléctrico hacia el resto del dispositivo (sistema </w:t>
      </w:r>
      <w:r w:rsidRPr="00E143C8">
        <w:rPr>
          <w:i/>
          <w:iCs/>
          <w:color w:val="000000" w:themeColor="text1"/>
        </w:rPr>
        <w:t>Power Path</w:t>
      </w:r>
      <w:r w:rsidRPr="00E143C8">
        <w:rPr>
          <w:color w:val="000000" w:themeColor="text1"/>
        </w:rPr>
        <w:t>).</w:t>
      </w:r>
    </w:p>
    <w:p w14:paraId="00DA261E" w14:textId="129B878E" w:rsidR="00E36D2C" w:rsidRDefault="00E143C8" w:rsidP="008F729B">
      <w:pPr>
        <w:jc w:val="both"/>
        <w:rPr>
          <w:b/>
          <w:bCs/>
          <w:color w:val="EE0000"/>
        </w:rPr>
      </w:pPr>
      <w:r w:rsidRPr="00E36D2C">
        <w:rPr>
          <w:b/>
          <w:bCs/>
          <w:color w:val="EE0000"/>
        </w:rPr>
        <w:t>Colocar imagen del apartado de</w:t>
      </w:r>
      <w:r>
        <w:rPr>
          <w:b/>
          <w:bCs/>
          <w:color w:val="EE0000"/>
        </w:rPr>
        <w:t xml:space="preserve"> carga:</w:t>
      </w:r>
    </w:p>
    <w:p w14:paraId="7288417A" w14:textId="445CEC1F" w:rsidR="00E143C8" w:rsidRPr="00E143C8" w:rsidRDefault="00E143C8" w:rsidP="008F729B">
      <w:pPr>
        <w:jc w:val="both"/>
        <w:rPr>
          <w:b/>
          <w:bCs/>
          <w:color w:val="000000" w:themeColor="text1"/>
        </w:rPr>
      </w:pPr>
      <w:r w:rsidRPr="00E143C8">
        <w:rPr>
          <w:b/>
          <w:bCs/>
          <w:color w:val="000000" w:themeColor="text1"/>
        </w:rPr>
        <w:t>Esquemático del circuito de carga basado en el controlador CN3795 y arreglo de diodos para selección de alimentación.</w:t>
      </w:r>
    </w:p>
    <w:p w14:paraId="697780A4" w14:textId="77777777" w:rsidR="00E143C8" w:rsidRPr="00E143C8" w:rsidRDefault="00E143C8" w:rsidP="008F729B">
      <w:pPr>
        <w:jc w:val="both"/>
        <w:rPr>
          <w:rFonts w:ascii="Times New Roman" w:eastAsia="Times New Roman" w:hAnsi="Times New Roman" w:cs="Times New Roman"/>
          <w:b/>
          <w:bCs/>
          <w:kern w:val="0"/>
          <w:sz w:val="24"/>
          <w:szCs w:val="24"/>
          <w:lang w:eastAsia="es-DO"/>
          <w14:ligatures w14:val="none"/>
        </w:rPr>
      </w:pPr>
      <w:r>
        <w:rPr>
          <w:b/>
          <w:bCs/>
          <w:color w:val="000000" w:themeColor="text1"/>
        </w:rPr>
        <w:t>x</w:t>
      </w:r>
      <w:r w:rsidRPr="00E143C8">
        <w:rPr>
          <w:rFonts w:ascii="Times New Roman" w:eastAsia="Times New Roman" w:hAnsi="Times New Roman" w:cs="Times New Roman"/>
          <w:kern w:val="0"/>
          <w:sz w:val="24"/>
          <w:szCs w:val="24"/>
          <w:lang w:eastAsia="es-DO"/>
          <w14:ligatures w14:val="none"/>
        </w:rPr>
        <w:t xml:space="preserve"> </w:t>
      </w:r>
    </w:p>
    <w:p w14:paraId="72ABBFCE" w14:textId="41EA390C" w:rsidR="00E143C8" w:rsidRPr="00E143C8" w:rsidRDefault="00E143C8" w:rsidP="008F729B">
      <w:pPr>
        <w:jc w:val="both"/>
        <w:rPr>
          <w:rFonts w:ascii="Times New Roman" w:eastAsia="Times New Roman" w:hAnsi="Times New Roman" w:cs="Times New Roman"/>
          <w:b/>
          <w:bCs/>
          <w:kern w:val="0"/>
          <w:sz w:val="24"/>
          <w:szCs w:val="24"/>
          <w:lang w:eastAsia="es-DO"/>
          <w14:ligatures w14:val="none"/>
        </w:rPr>
      </w:pPr>
      <w:r w:rsidRPr="00E143C8">
        <w:rPr>
          <w:b/>
          <w:bCs/>
          <w:color w:val="000000" w:themeColor="text1"/>
        </w:rPr>
        <w:t>CN3795</w:t>
      </w:r>
    </w:p>
    <w:p w14:paraId="7151CE9F" w14:textId="288F065F" w:rsidR="00E143C8" w:rsidRPr="00E143C8" w:rsidRDefault="00E143C8" w:rsidP="008F729B">
      <w:pPr>
        <w:jc w:val="both"/>
        <w:rPr>
          <w:color w:val="000000" w:themeColor="text1"/>
        </w:rPr>
      </w:pPr>
      <w:r w:rsidRPr="00E143C8">
        <w:rPr>
          <w:color w:val="000000" w:themeColor="text1"/>
        </w:rPr>
        <w:t>Para el control de carga se seleccionó el circuito integrado CN3795, un controlador de carga de amplio rango de entrada que opera mediante una topología de conmutación tipo Buck (reductor). Este controlador acciona un MOSFET de canal P (Q1, modelo AO4435) que, en conjunto con el diodo de captura Schottky (D6) y el inductor de potencia (L4, 22 µH), conforma la etapa de potencia encargada de reducir los 15 V de entrada a los 12.6 V requeridos por la batería.</w:t>
      </w:r>
    </w:p>
    <w:p w14:paraId="6A70913C" w14:textId="77777777" w:rsidR="00E143C8" w:rsidRDefault="00E143C8" w:rsidP="008F729B">
      <w:pPr>
        <w:jc w:val="both"/>
        <w:rPr>
          <w:color w:val="000000" w:themeColor="text1"/>
        </w:rPr>
      </w:pPr>
      <w:r w:rsidRPr="00E143C8">
        <w:rPr>
          <w:color w:val="000000" w:themeColor="text1"/>
        </w:rPr>
        <w:t xml:space="preserve">El control del voltaje de flotación se establece a través de un divisor resistivo de precisión (R16 y R27) conectado al pin de retroalimentación (FB). Simultáneamente, la corriente de carga máxima se regula mediante la resistencia de </w:t>
      </w:r>
      <w:proofErr w:type="spellStart"/>
      <w:r w:rsidRPr="00E143C8">
        <w:rPr>
          <w:color w:val="000000" w:themeColor="text1"/>
        </w:rPr>
        <w:t>sensado</w:t>
      </w:r>
      <w:proofErr w:type="spellEnd"/>
      <w:r w:rsidRPr="00E143C8">
        <w:rPr>
          <w:color w:val="000000" w:themeColor="text1"/>
        </w:rPr>
        <w:t xml:space="preserve"> (R13) ubicada entre los pines CSP y BAT del integrado. Este lazo de control dual permite al CN3795 ejecutar las fases de carga de corriente constante (CC) y voltaje constante (CV) exigidas por la química de litio, maximizando la vida útil de las celdas.</w:t>
      </w:r>
    </w:p>
    <w:p w14:paraId="47E8CA36" w14:textId="0A22F906" w:rsidR="00E143C8" w:rsidRPr="00E143C8" w:rsidRDefault="00E143C8" w:rsidP="008F729B">
      <w:pPr>
        <w:jc w:val="both"/>
        <w:rPr>
          <w:color w:val="000000" w:themeColor="text1"/>
        </w:rPr>
      </w:pPr>
      <w:r w:rsidRPr="00E143C8">
        <w:rPr>
          <w:b/>
          <w:bCs/>
          <w:color w:val="000000" w:themeColor="text1"/>
        </w:rPr>
        <w:t>Estrategia de aislamiento de tierras (</w:t>
      </w:r>
      <w:proofErr w:type="spellStart"/>
      <w:r w:rsidRPr="00E143C8">
        <w:rPr>
          <w:b/>
          <w:bCs/>
          <w:color w:val="000000" w:themeColor="text1"/>
        </w:rPr>
        <w:t>Clean</w:t>
      </w:r>
      <w:proofErr w:type="spellEnd"/>
      <w:r w:rsidRPr="00E143C8">
        <w:rPr>
          <w:b/>
          <w:bCs/>
          <w:color w:val="000000" w:themeColor="text1"/>
        </w:rPr>
        <w:t xml:space="preserve"> Ground)</w:t>
      </w:r>
      <w:r w:rsidRPr="00E143C8">
        <w:rPr>
          <w:color w:val="000000" w:themeColor="text1"/>
        </w:rPr>
        <w:t xml:space="preserve"> Un aspecto crítico en el diseño de esta etapa fue la mitigación del ruido eléctrico. Dado que el convertidor de conmutación genera corrientes transitorias de alta frecuencia (di/</w:t>
      </w:r>
      <w:proofErr w:type="spellStart"/>
      <w:r w:rsidRPr="00E143C8">
        <w:rPr>
          <w:color w:val="000000" w:themeColor="text1"/>
        </w:rPr>
        <w:t>dt</w:t>
      </w:r>
      <w:proofErr w:type="spellEnd"/>
      <w:r w:rsidRPr="00E143C8">
        <w:rPr>
          <w:color w:val="000000" w:themeColor="text1"/>
        </w:rPr>
        <w:t xml:space="preserve">), se implementó una estrategia de tierras separadas para proteger las mediciones analógicas del controlador. Como se observa en el esquemático, se definió una red de "tierra limpia" (GND2) para los pines de referencia del CN3795. Esta red se une al plano de tierra principal de potencia (GND) en un único punto mediante un componente físico de unión o </w:t>
      </w:r>
      <w:r w:rsidRPr="00E143C8">
        <w:rPr>
          <w:i/>
          <w:iCs/>
          <w:color w:val="000000" w:themeColor="text1"/>
        </w:rPr>
        <w:t>Net Tie</w:t>
      </w:r>
      <w:r w:rsidRPr="00E143C8">
        <w:rPr>
          <w:color w:val="000000" w:themeColor="text1"/>
        </w:rPr>
        <w:t xml:space="preserve"> (NT1). Esta técnica, conocida como conexión en estrella, evita que las corrientes de retorno de la etapa de potencia circulen por la sección analógica, garantizando una regulación estable.</w:t>
      </w:r>
    </w:p>
    <w:p w14:paraId="079F4806" w14:textId="77777777" w:rsidR="00E143C8" w:rsidRPr="00E143C8" w:rsidRDefault="00E143C8" w:rsidP="008F729B">
      <w:pPr>
        <w:jc w:val="both"/>
        <w:rPr>
          <w:color w:val="000000" w:themeColor="text1"/>
        </w:rPr>
      </w:pPr>
      <w:r w:rsidRPr="00E143C8">
        <w:rPr>
          <w:b/>
          <w:bCs/>
          <w:color w:val="000000" w:themeColor="text1"/>
        </w:rPr>
        <w:t xml:space="preserve">Gestión de distribución de energía (Power Path) </w:t>
      </w:r>
      <w:r w:rsidRPr="00E143C8">
        <w:rPr>
          <w:color w:val="000000" w:themeColor="text1"/>
        </w:rPr>
        <w:t>Para asegurar que el sistema AUTOAMBU no se interrumpa al desconectar el cable USB, se diseñó un circuito de selección de fuente de alimentación basado en un arreglo de diodos en configuración OR (D7 y D8).</w:t>
      </w:r>
    </w:p>
    <w:p w14:paraId="049AC7F4" w14:textId="77777777" w:rsidR="00E143C8" w:rsidRPr="00E143C8" w:rsidRDefault="00E143C8" w:rsidP="008F729B">
      <w:pPr>
        <w:numPr>
          <w:ilvl w:val="0"/>
          <w:numId w:val="8"/>
        </w:numPr>
        <w:tabs>
          <w:tab w:val="clear" w:pos="720"/>
          <w:tab w:val="num" w:pos="540"/>
        </w:tabs>
        <w:ind w:left="270" w:hanging="180"/>
        <w:jc w:val="both"/>
        <w:rPr>
          <w:color w:val="000000" w:themeColor="text1"/>
        </w:rPr>
      </w:pPr>
      <w:r w:rsidRPr="00E143C8">
        <w:rPr>
          <w:b/>
          <w:bCs/>
          <w:color w:val="000000" w:themeColor="text1"/>
        </w:rPr>
        <w:t xml:space="preserve">Operación con alimentación externa: </w:t>
      </w:r>
      <w:r w:rsidRPr="00E143C8">
        <w:rPr>
          <w:color w:val="000000" w:themeColor="text1"/>
        </w:rPr>
        <w:t>Cuando el dispositivo está conectado por USB (V5_1 activo a 15 V), el diodo D7 conduce y suministra energía directamente al nodo principal de regulación (VCC_REG). Dado que los 15 V de entrada son superiores a los 12.6 V máximos de la batería, el diodo D8 queda polarizado en inversa, bloqueando el flujo y permitiendo que toda la corriente del cargador se destine exclusivamente a recargar la batería.</w:t>
      </w:r>
    </w:p>
    <w:p w14:paraId="40F590D7" w14:textId="77777777" w:rsidR="00E143C8" w:rsidRPr="00E143C8" w:rsidRDefault="00E143C8" w:rsidP="008F729B">
      <w:pPr>
        <w:numPr>
          <w:ilvl w:val="0"/>
          <w:numId w:val="8"/>
        </w:numPr>
        <w:tabs>
          <w:tab w:val="clear" w:pos="720"/>
          <w:tab w:val="num" w:pos="540"/>
        </w:tabs>
        <w:ind w:left="270" w:firstLine="0"/>
        <w:jc w:val="both"/>
        <w:rPr>
          <w:b/>
          <w:bCs/>
          <w:color w:val="EE0000"/>
        </w:rPr>
      </w:pPr>
      <w:r w:rsidRPr="00E143C8">
        <w:rPr>
          <w:b/>
          <w:bCs/>
          <w:color w:val="000000" w:themeColor="text1"/>
        </w:rPr>
        <w:lastRenderedPageBreak/>
        <w:t xml:space="preserve">Operación a batería: </w:t>
      </w:r>
      <w:r w:rsidRPr="00E143C8">
        <w:rPr>
          <w:color w:val="000000" w:themeColor="text1"/>
        </w:rPr>
        <w:t>Al desconectar el cable USB, la tensión V5_1 cae a cero. Inmediatamente, el diodo D8 queda polarizado en directa, permitiendo que la batería asuma la carga del sistema de manera ininterrumpida.</w:t>
      </w:r>
    </w:p>
    <w:p w14:paraId="27C26099" w14:textId="77777777" w:rsidR="00E143C8" w:rsidRDefault="00E143C8" w:rsidP="008F729B">
      <w:pPr>
        <w:tabs>
          <w:tab w:val="num" w:pos="540"/>
        </w:tabs>
        <w:ind w:left="270"/>
        <w:jc w:val="both"/>
        <w:rPr>
          <w:color w:val="000000" w:themeColor="text1"/>
        </w:rPr>
      </w:pPr>
      <w:r w:rsidRPr="001E282D">
        <w:rPr>
          <w:color w:val="000000" w:themeColor="text1"/>
        </w:rPr>
        <w:t>Finalmente, es importante destacar que la alimentación para el actuador mecánico principal (VCC_MOTOR) se extrajo directamente del nodo de la batería y antes del arreglo de diodos. Esta decisión de diseño aísla las severas caídas de tensión y el ruido inductivo generados por los picos de arranque del motor de corriente continua, protegiendo así la estabilidad del nodo de regulación lógica (VCC_REG).</w:t>
      </w:r>
    </w:p>
    <w:p w14:paraId="79597C85" w14:textId="77777777" w:rsidR="001E282D" w:rsidRDefault="001E282D" w:rsidP="00E143C8">
      <w:pPr>
        <w:rPr>
          <w:color w:val="000000" w:themeColor="text1"/>
        </w:rPr>
      </w:pPr>
    </w:p>
    <w:p w14:paraId="34173F33" w14:textId="646CA8C2" w:rsidR="001E282D" w:rsidRPr="001E282D" w:rsidRDefault="001E282D" w:rsidP="008F729B">
      <w:pPr>
        <w:jc w:val="both"/>
        <w:rPr>
          <w:b/>
          <w:bCs/>
          <w:color w:val="000000" w:themeColor="text1"/>
        </w:rPr>
      </w:pPr>
      <w:r w:rsidRPr="001E282D">
        <w:rPr>
          <w:b/>
          <w:bCs/>
          <w:color w:val="000000" w:themeColor="text1"/>
        </w:rPr>
        <w:t>Etapa de regulación lógica (Convertidor Buck 3.3 V)</w:t>
      </w:r>
    </w:p>
    <w:p w14:paraId="2BE4094B" w14:textId="5BE61F1E" w:rsidR="00E143C8" w:rsidRPr="001E282D" w:rsidRDefault="001E282D" w:rsidP="008F729B">
      <w:pPr>
        <w:jc w:val="both"/>
        <w:rPr>
          <w:color w:val="000000" w:themeColor="text1"/>
        </w:rPr>
      </w:pPr>
      <w:r w:rsidRPr="001E282D">
        <w:rPr>
          <w:b/>
          <w:bCs/>
          <w:color w:val="000000" w:themeColor="text1"/>
        </w:rPr>
        <w:t>Introducción</w:t>
      </w:r>
      <w:r w:rsidRPr="001E282D">
        <w:rPr>
          <w:b/>
          <w:bCs/>
          <w:color w:val="EE0000"/>
        </w:rPr>
        <w:t xml:space="preserve"> </w:t>
      </w:r>
      <w:r w:rsidRPr="001E282D">
        <w:rPr>
          <w:color w:val="000000" w:themeColor="text1"/>
        </w:rPr>
        <w:t>La tensión proveniente del bus principal de alimentación (VCC_REG), la cual puede variar entre los aproximadamente 9 V de una batería próxima a descargarse y los 15 V suministrados por el adaptador USB Tipo-C, debe ser reducida y estabilizada para alimentar de forma segura al microcontrolador ESP32 y a la instrumentación de baja potencia. Debido a la considerable diferencia de potencial entre la entrada y la salida requerida, se descartó el uso de reguladores lineales (LDO), ya que generarían una disipación térmica excesiva e ineficiente. En su lugar, se implementó un convertidor de conmutación tipo Buck.</w:t>
      </w:r>
    </w:p>
    <w:p w14:paraId="0B72261F" w14:textId="6E44DE74" w:rsidR="00E143C8" w:rsidRPr="001E282D" w:rsidRDefault="001E282D">
      <w:pPr>
        <w:rPr>
          <w:b/>
          <w:bCs/>
          <w:color w:val="EE0000"/>
        </w:rPr>
      </w:pPr>
      <w:r w:rsidRPr="001E282D">
        <w:rPr>
          <w:b/>
          <w:bCs/>
          <w:color w:val="EE0000"/>
        </w:rPr>
        <w:t xml:space="preserve">Incluir imagen de la etapa del regulador </w:t>
      </w:r>
    </w:p>
    <w:p w14:paraId="124A06F9" w14:textId="483D21B4" w:rsidR="00E36D2C" w:rsidRDefault="001E282D" w:rsidP="008F729B">
      <w:pPr>
        <w:jc w:val="both"/>
      </w:pPr>
      <w:r w:rsidRPr="001E282D">
        <w:t>Esquemático del regulador reductor LM2576HVS-3.3 para la alimentación del ESP32.</w:t>
      </w:r>
    </w:p>
    <w:p w14:paraId="762F4871" w14:textId="77777777" w:rsidR="008F729B" w:rsidRPr="008F729B" w:rsidRDefault="008F729B" w:rsidP="008F729B">
      <w:pPr>
        <w:jc w:val="both"/>
      </w:pPr>
      <w:r w:rsidRPr="008F729B">
        <w:rPr>
          <w:b/>
          <w:bCs/>
        </w:rPr>
        <w:t>Selección del regulador y filtrado de entrada</w:t>
      </w:r>
      <w:r w:rsidRPr="008F729B">
        <w:t xml:space="preserve"> El núcleo de esta etapa es el circuito integrado monolítico LM2576HVS-3.3 (U7), seleccionado por su robustez, su amplio margen de voltaje de entrada (versión HVS) y su capacidad para suministrar hasta 3 A de corriente continua, garantizando un margen de potencia holgado para los picos de transmisión de radiofrecuencia del ESP32.</w:t>
      </w:r>
    </w:p>
    <w:p w14:paraId="0EFB148F" w14:textId="77777777" w:rsidR="008F729B" w:rsidRPr="008F729B" w:rsidRDefault="008F729B" w:rsidP="008F729B">
      <w:pPr>
        <w:jc w:val="both"/>
      </w:pPr>
      <w:r w:rsidRPr="008F729B">
        <w:t>Para estabilizar la entrada del regulador, se implementó una red de filtrado desacoplada. El capacitor C19 (470 µF) actúa como un depósito de energía (</w:t>
      </w:r>
      <w:proofErr w:type="spellStart"/>
      <w:r w:rsidRPr="008F729B">
        <w:t>bulk</w:t>
      </w:r>
      <w:proofErr w:type="spellEnd"/>
      <w:r w:rsidRPr="008F729B">
        <w:t xml:space="preserve"> capacitor) que absorbe los transitorios de baja frecuencia y previene caídas abruptas en el bus VCC_REG durante los ciclos de encendido del regulador. En paralelo, el capacitor cerámico C18 (100 </w:t>
      </w:r>
      <w:proofErr w:type="spellStart"/>
      <w:r w:rsidRPr="008F729B">
        <w:t>nF</w:t>
      </w:r>
      <w:proofErr w:type="spellEnd"/>
      <w:r w:rsidRPr="008F729B">
        <w:t>) se ubicó lo más cerca posible del pin de entrada (Vin) para derivar a tierra el ruido de alta frecuencia y las interferencias electromagnéticas.</w:t>
      </w:r>
    </w:p>
    <w:p w14:paraId="51506F04" w14:textId="77777777" w:rsidR="008F729B" w:rsidRPr="008F729B" w:rsidRDefault="008F729B" w:rsidP="008F729B">
      <w:pPr>
        <w:jc w:val="both"/>
      </w:pPr>
      <w:r w:rsidRPr="008F729B">
        <w:rPr>
          <w:b/>
          <w:bCs/>
        </w:rPr>
        <w:t>Red de conmutación y salida</w:t>
      </w:r>
      <w:r w:rsidRPr="008F729B">
        <w:t xml:space="preserve"> El proceso de conversión de energía se lleva a cabo mediante la interacción del interruptor interno del LM2576, el inductor L2 (100 µH) y el diodo de captura D5 (B330A).</w:t>
      </w:r>
    </w:p>
    <w:p w14:paraId="15BFC7B8" w14:textId="77777777" w:rsidR="008F729B" w:rsidRPr="008F729B" w:rsidRDefault="008F729B" w:rsidP="008F729B">
      <w:pPr>
        <w:numPr>
          <w:ilvl w:val="0"/>
          <w:numId w:val="9"/>
        </w:numPr>
        <w:jc w:val="both"/>
      </w:pPr>
      <w:r w:rsidRPr="008F729B">
        <w:rPr>
          <w:b/>
          <w:bCs/>
        </w:rPr>
        <w:t>Diodo Schottky:</w:t>
      </w:r>
      <w:r w:rsidRPr="008F729B">
        <w:t xml:space="preserve"> La selección del diodo B330A es crítica en esta topología. Al ser un diodo de barrera Schottky, posee un tiempo de recuperación inversa prácticamente nulo y una baja caída de tensión directa. Esto permite que la corriente generada por el campo magnético del inductor circule libremente y de forma eficiente cuando el interruptor interno del regulador se abre (fase de apagado o </w:t>
      </w:r>
      <w:proofErr w:type="spellStart"/>
      <w:r w:rsidRPr="008F729B">
        <w:rPr>
          <w:i/>
          <w:iCs/>
        </w:rPr>
        <w:t>freewheeling</w:t>
      </w:r>
      <w:proofErr w:type="spellEnd"/>
      <w:r w:rsidRPr="008F729B">
        <w:t>).</w:t>
      </w:r>
    </w:p>
    <w:p w14:paraId="795D9A75" w14:textId="6D06E66F" w:rsidR="008F729B" w:rsidRPr="008F729B" w:rsidRDefault="008F729B" w:rsidP="008359B4">
      <w:pPr>
        <w:numPr>
          <w:ilvl w:val="0"/>
          <w:numId w:val="9"/>
        </w:numPr>
        <w:jc w:val="both"/>
      </w:pPr>
      <w:r w:rsidRPr="008F729B">
        <w:rPr>
          <w:b/>
          <w:bCs/>
        </w:rPr>
        <w:t>Filtrado de salida:</w:t>
      </w:r>
      <w:r w:rsidRPr="008F729B">
        <w:t xml:space="preserve"> La versión de voltaje fijo del integrado simplifica el diseño al requerir que el pin de retroalimentación (</w:t>
      </w:r>
      <w:proofErr w:type="spellStart"/>
      <w:r w:rsidRPr="008F729B">
        <w:t>Feedback</w:t>
      </w:r>
      <w:proofErr w:type="spellEnd"/>
      <w:r w:rsidRPr="008F729B">
        <w:t xml:space="preserve">) se conecte directamente al </w:t>
      </w:r>
      <w:r>
        <w:rPr>
          <w:b/>
          <w:bCs/>
        </w:rPr>
        <w:lastRenderedPageBreak/>
        <w:t>N</w:t>
      </w:r>
      <w:r w:rsidRPr="008F729B">
        <w:rPr>
          <w:b/>
          <w:bCs/>
        </w:rPr>
        <w:t>odo de salida.</w:t>
      </w:r>
      <w:r w:rsidRPr="008F729B">
        <w:t xml:space="preserve"> El capacitor C24 (47 µF) se encarga de suavizar el rizado (</w:t>
      </w:r>
      <w:proofErr w:type="spellStart"/>
      <w:r w:rsidRPr="008F729B">
        <w:t>ripple</w:t>
      </w:r>
      <w:proofErr w:type="spellEnd"/>
      <w:r w:rsidRPr="008F729B">
        <w:t>) de la corriente proveniente del inductor, proporcionando finalmente un plano de 3.3 V limpio y estable para los circuitos lógicos.</w:t>
      </w:r>
    </w:p>
    <w:p w14:paraId="58F7A33D" w14:textId="411C0196" w:rsidR="001E282D" w:rsidRDefault="008359B4" w:rsidP="008359B4">
      <w:pPr>
        <w:jc w:val="both"/>
      </w:pPr>
      <w:r w:rsidRPr="008359B4">
        <w:rPr>
          <w:b/>
          <w:bCs/>
        </w:rPr>
        <w:t>Gestión térmica en el diseño físico</w:t>
      </w:r>
      <w:r>
        <w:rPr>
          <w:b/>
          <w:bCs/>
        </w:rPr>
        <w:t>:</w:t>
      </w:r>
      <w:r w:rsidRPr="008359B4">
        <w:t xml:space="preserve"> Desde la perspectiva del diseño físico (</w:t>
      </w:r>
      <w:proofErr w:type="spellStart"/>
      <w:r w:rsidRPr="008359B4">
        <w:t>Layout</w:t>
      </w:r>
      <w:proofErr w:type="spellEnd"/>
      <w:r w:rsidRPr="008359B4">
        <w:t>), el LM2576HVS fue seleccionado en un encapsulado de montaje superficial que incorpora una pestaña de disipación (TAB, pin 6). Como se indica en el esquemático, este terminal se conectó directamente a la red de tierra (GND). En la placa de circuito impreso, esta conexión cumple un doble propósito: establecer la referencia eléctrica central del componente y actuar como el puente térmico primario, transfiriendo el calor generado por las pérdidas de conmutación hacia los planos internos de cobre de la PCB para su correcta disipación.</w:t>
      </w:r>
    </w:p>
    <w:p w14:paraId="3EE3939C" w14:textId="77777777" w:rsidR="008359B4" w:rsidRPr="008359B4" w:rsidRDefault="008359B4" w:rsidP="008359B4">
      <w:pPr>
        <w:jc w:val="both"/>
      </w:pPr>
      <w:r w:rsidRPr="008359B4">
        <w:rPr>
          <w:b/>
          <w:bCs/>
        </w:rPr>
        <w:t>Consideraciones de operación a baja tensión (Modo de programación)</w:t>
      </w:r>
      <w:r w:rsidRPr="008359B4">
        <w:t xml:space="preserve"> Resulta imperativo analizar el comportamiento de esta etapa durante el proceso de programación y depuración del firmware. En este escenario, el dispositivo se conecta a un puerto USB estándar de un ordenador, el cual no cuenta con negociación de Power Delivery, limitando la tensión de entrada en el bus VCC_REG a 5 V y la corriente máxima a 500 mA (estándar USB 2.0).</w:t>
      </w:r>
    </w:p>
    <w:p w14:paraId="3BA2ABED" w14:textId="77777777" w:rsidR="008359B4" w:rsidRPr="008359B4" w:rsidRDefault="008359B4" w:rsidP="008359B4">
      <w:pPr>
        <w:jc w:val="both"/>
      </w:pPr>
      <w:r w:rsidRPr="008359B4">
        <w:t>Bajo estas condiciones operativas, el sistema dispone de una potencia de entrada máxima de 2.5 W. El regulador LM2576HVS-3.3 opera con un diferencial de tensión (</w:t>
      </w:r>
      <w:proofErr w:type="spellStart"/>
      <w:r w:rsidRPr="008359B4">
        <w:t>dropout</w:t>
      </w:r>
      <w:proofErr w:type="spellEnd"/>
      <w:r w:rsidRPr="008359B4">
        <w:t>) de 1.7 V (5 V a la entrada frente a 3.3 V a la salida), manteniéndose dentro de su margen operativo para garantizar la regulación. Considerando una eficiencia típica de conversión del 75% para este diferencial, la etapa es capaz de suministrar aproximadamente 560 mA netos a la salida de 3.3 V. Si bien este margen energético podría ser restrictivo si el microcontrolador activara sus periféricos de radiofrecuencia a máxima potencia, es holgadamente suficiente para satisfacer el consumo de la unidad de procesamiento durante el modo de descarga y escritura en la memoria flash, garantizando una programación estable sin requerir la conexión de la batería o de una fuente de alta capacidad.</w:t>
      </w:r>
    </w:p>
    <w:p w14:paraId="6565EEFA" w14:textId="77777777" w:rsidR="00E36D2C" w:rsidRDefault="00E36D2C"/>
    <w:p w14:paraId="67412E14" w14:textId="77777777" w:rsidR="00E36D2C" w:rsidRDefault="00E36D2C"/>
    <w:p w14:paraId="4EB2BEE4" w14:textId="77777777" w:rsidR="00E36D2C" w:rsidRDefault="00E36D2C"/>
    <w:p w14:paraId="7A9DBAB3" w14:textId="77777777" w:rsidR="00E36D2C" w:rsidRDefault="00E36D2C"/>
    <w:p w14:paraId="60E2D05A" w14:textId="77777777" w:rsidR="00E36D2C" w:rsidRDefault="00E36D2C"/>
    <w:p w14:paraId="1224870E" w14:textId="77777777" w:rsidR="00E36D2C" w:rsidRDefault="00E36D2C"/>
    <w:p w14:paraId="14FA94C2" w14:textId="77777777" w:rsidR="00E36D2C" w:rsidRDefault="00E36D2C"/>
    <w:p w14:paraId="120E16C3" w14:textId="77777777" w:rsidR="00E36D2C" w:rsidRDefault="00E36D2C"/>
    <w:p w14:paraId="310D6710" w14:textId="77777777" w:rsidR="00E36D2C" w:rsidRDefault="00E36D2C"/>
    <w:p w14:paraId="72B1F053" w14:textId="77777777" w:rsidR="00E36D2C" w:rsidRDefault="00E36D2C"/>
    <w:p w14:paraId="318DC678" w14:textId="77777777" w:rsidR="00E36D2C" w:rsidRDefault="00E36D2C"/>
    <w:p w14:paraId="7EE2B88B" w14:textId="77777777" w:rsidR="00E36D2C" w:rsidRDefault="00E36D2C"/>
    <w:p w14:paraId="0FACC2B5" w14:textId="15D4F6E2" w:rsidR="00013149" w:rsidRPr="00013149" w:rsidRDefault="00013149">
      <w:pPr>
        <w:rPr>
          <w:rFonts w:ascii="Arial" w:hAnsi="Arial" w:cs="Arial"/>
          <w:b/>
          <w:bCs/>
        </w:rPr>
      </w:pPr>
      <w:r w:rsidRPr="00013149">
        <w:rPr>
          <w:rFonts w:ascii="Arial" w:hAnsi="Arial" w:cs="Arial"/>
          <w:b/>
          <w:bCs/>
        </w:rPr>
        <w:lastRenderedPageBreak/>
        <w:t>Etapa de potencia y control de actuación (Driver de Motor)</w:t>
      </w:r>
    </w:p>
    <w:p w14:paraId="2694C487" w14:textId="32096C71" w:rsidR="00013149" w:rsidRDefault="00013149" w:rsidP="00013149">
      <w:pPr>
        <w:jc w:val="both"/>
      </w:pPr>
      <w:r w:rsidRPr="00013149">
        <w:rPr>
          <w:b/>
          <w:bCs/>
        </w:rPr>
        <w:t>Introducción</w:t>
      </w:r>
      <w:r w:rsidRPr="00013149">
        <w:t xml:space="preserve"> La etapa de actuación mecánica es el componente crítico del sistema AUTOAMBU, encargado de proveer el torque y la velocidad necesarios para comprimir el resucitador manual de forma cíclica y controlada. Para facilitar el mantenimiento, optimizar el manejo térmico y modularizar el sistema, se optó por externalizar el driver de potencia utilizando un módulo comercial basado en el puente H L298N. Este módulo se interconecta con la tarjeta de control principal mediante una interfaz de pines (</w:t>
      </w:r>
      <w:proofErr w:type="spellStart"/>
      <w:r w:rsidRPr="00013149">
        <w:t>headers</w:t>
      </w:r>
      <w:proofErr w:type="spellEnd"/>
      <w:r w:rsidRPr="00013149">
        <w:t>) diseñada específicamente para enviar las señales lógicas y canalizar la energía requerida por el motor.</w:t>
      </w:r>
    </w:p>
    <w:p w14:paraId="2EC4BF30" w14:textId="38C21001" w:rsidR="00013149" w:rsidRDefault="00013149" w:rsidP="00013149">
      <w:pPr>
        <w:jc w:val="both"/>
      </w:pPr>
      <w:r>
        <w:t>Añadir imagen de etapa de puente H y conector de motor</w:t>
      </w:r>
    </w:p>
    <w:p w14:paraId="3AA1584B" w14:textId="51784D38" w:rsidR="00013149" w:rsidRDefault="00013149" w:rsidP="00013149">
      <w:pPr>
        <w:jc w:val="both"/>
        <w:rPr>
          <w:b/>
          <w:bCs/>
        </w:rPr>
      </w:pPr>
      <w:r w:rsidRPr="00013149">
        <w:rPr>
          <w:b/>
          <w:bCs/>
        </w:rPr>
        <w:t xml:space="preserve">Esquemático de las interfaces de conexión para el módulo L298N y la retroalimentación del </w:t>
      </w:r>
      <w:proofErr w:type="spellStart"/>
      <w:r w:rsidRPr="00013149">
        <w:rPr>
          <w:b/>
          <w:bCs/>
        </w:rPr>
        <w:t>encoder</w:t>
      </w:r>
      <w:proofErr w:type="spellEnd"/>
      <w:r w:rsidRPr="00013149">
        <w:rPr>
          <w:b/>
          <w:bCs/>
        </w:rPr>
        <w:t xml:space="preserve"> del motor.</w:t>
      </w:r>
    </w:p>
    <w:p w14:paraId="1FC8F16C" w14:textId="77777777" w:rsidR="00013149" w:rsidRDefault="00013149" w:rsidP="00013149">
      <w:pPr>
        <w:jc w:val="both"/>
        <w:rPr>
          <w:b/>
          <w:bCs/>
        </w:rPr>
      </w:pPr>
    </w:p>
    <w:p w14:paraId="65BCE15A" w14:textId="07ECBADA" w:rsidR="00013149" w:rsidRDefault="00013149" w:rsidP="00013149">
      <w:pPr>
        <w:jc w:val="both"/>
        <w:rPr>
          <w:b/>
          <w:bCs/>
        </w:rPr>
      </w:pPr>
      <w:r w:rsidRPr="00013149">
        <w:rPr>
          <w:b/>
          <w:bCs/>
        </w:rPr>
        <w:t>Interfaz de control del Puente H</w:t>
      </w:r>
      <w:r>
        <w:rPr>
          <w:b/>
          <w:bCs/>
        </w:rPr>
        <w:t>:</w:t>
      </w:r>
    </w:p>
    <w:p w14:paraId="39A255B6" w14:textId="77777777" w:rsidR="00013149" w:rsidRPr="00013149" w:rsidRDefault="00013149" w:rsidP="00013149">
      <w:pPr>
        <w:jc w:val="both"/>
      </w:pPr>
      <w:r w:rsidRPr="00013149">
        <w:t>Como se aprecia en la sección derecha del esquemático, la interfaz hacia el módulo L298N consta de líneas de potencia y de control lógico.</w:t>
      </w:r>
    </w:p>
    <w:p w14:paraId="23BEFFAF" w14:textId="77777777" w:rsidR="00013149" w:rsidRPr="00013149" w:rsidRDefault="00013149" w:rsidP="00013149">
      <w:pPr>
        <w:numPr>
          <w:ilvl w:val="0"/>
          <w:numId w:val="10"/>
        </w:numPr>
        <w:jc w:val="both"/>
      </w:pPr>
      <w:r w:rsidRPr="00013149">
        <w:rPr>
          <w:b/>
          <w:bCs/>
        </w:rPr>
        <w:t xml:space="preserve">Aislamiento de energía: </w:t>
      </w:r>
      <w:r w:rsidRPr="00013149">
        <w:t>Para la alimentación de fuerza, se expuso el nodo VCC_MOTOR. Como se definió en la etapa de gestión de energía, esta línea proviene directamente de la batería, evitando que los picos inductivos generados durante el arranque o la inversión de giro del motor afecten el nodo regulado de la lógica del sistema. Ambas placas comparten un nodo común (GND1 a GND) para establecer la misma referencia eléctrica en las señales de control.</w:t>
      </w:r>
    </w:p>
    <w:p w14:paraId="7163AADF" w14:textId="77777777" w:rsidR="00013149" w:rsidRPr="00013149" w:rsidRDefault="00013149" w:rsidP="00013149">
      <w:pPr>
        <w:numPr>
          <w:ilvl w:val="0"/>
          <w:numId w:val="10"/>
        </w:numPr>
        <w:jc w:val="both"/>
      </w:pPr>
      <w:r w:rsidRPr="00013149">
        <w:rPr>
          <w:b/>
          <w:bCs/>
        </w:rPr>
        <w:t xml:space="preserve">Señales de conmutación: </w:t>
      </w:r>
      <w:r w:rsidRPr="00013149">
        <w:t>El control de giro y velocidad se gestiona a través de tres líneas digitales provenientes del microcontrolador ESP32. Los pines IO14_1 (INA) e IO27_1 (INB) determinan el sentido de rotación del motor al conmutar los transistores del puente H. Por su parte, la línea IO26_1 proporciona una señal de modulación por ancho de pulso (PWM), la cual regula el ciclo de trabajo de la etapa de potencia y, en consecuencia, la velocidad de compresión del actuador mecánico.</w:t>
      </w:r>
    </w:p>
    <w:p w14:paraId="179F2619" w14:textId="77777777" w:rsidR="00013149" w:rsidRPr="00013149" w:rsidRDefault="00013149" w:rsidP="00013149">
      <w:pPr>
        <w:jc w:val="both"/>
      </w:pPr>
      <w:r w:rsidRPr="00013149">
        <w:rPr>
          <w:b/>
          <w:bCs/>
        </w:rPr>
        <w:t xml:space="preserve">Retroalimentación de posición (Interfaz de </w:t>
      </w:r>
      <w:proofErr w:type="spellStart"/>
      <w:r w:rsidRPr="00013149">
        <w:rPr>
          <w:b/>
          <w:bCs/>
        </w:rPr>
        <w:t>Encoder</w:t>
      </w:r>
      <w:proofErr w:type="spellEnd"/>
      <w:r w:rsidRPr="00013149">
        <w:t xml:space="preserve">) Para que el sistema AUTOAMBU opere como un lazo de control cerrado y garantice un volumen de compresión exacto, es imprescindible conocer la posición angular del motor en todo momento. La sección izquierda del esquemático muestra la interfaz diseñada para conectar el </w:t>
      </w:r>
      <w:proofErr w:type="spellStart"/>
      <w:r w:rsidRPr="00013149">
        <w:t>encoder</w:t>
      </w:r>
      <w:proofErr w:type="spellEnd"/>
      <w:r w:rsidRPr="00013149">
        <w:t xml:space="preserve"> de cuadratura acoplado al eje del motor.</w:t>
      </w:r>
    </w:p>
    <w:p w14:paraId="4F8554F0" w14:textId="77777777" w:rsidR="00013149" w:rsidRDefault="00013149" w:rsidP="00013149">
      <w:pPr>
        <w:numPr>
          <w:ilvl w:val="0"/>
          <w:numId w:val="11"/>
        </w:numPr>
        <w:jc w:val="both"/>
      </w:pPr>
      <w:r w:rsidRPr="00013149">
        <w:rPr>
          <w:b/>
          <w:bCs/>
        </w:rPr>
        <w:t xml:space="preserve">Acondicionamiento de señal: </w:t>
      </w:r>
      <w:r w:rsidRPr="00013149">
        <w:t xml:space="preserve">Las señales de los canales del </w:t>
      </w:r>
      <w:proofErr w:type="spellStart"/>
      <w:r w:rsidRPr="00013149">
        <w:t>encoder</w:t>
      </w:r>
      <w:proofErr w:type="spellEnd"/>
      <w:r w:rsidRPr="00013149">
        <w:t xml:space="preserve"> ingresan a la tarjeta a través del conector tipo bornera (DB125) y se dirigen a los pines de interrupción del ESP32 (IO25_1 e IO33_1). Para garantizar la integridad de estas señales digitales, se implementaron resistencias de polarización (</w:t>
      </w:r>
      <w:proofErr w:type="spellStart"/>
      <w:r w:rsidRPr="00013149">
        <w:t>pull</w:t>
      </w:r>
      <w:proofErr w:type="spellEnd"/>
      <w:r w:rsidRPr="00013149">
        <w:t xml:space="preserve">-up) de 4.7 </w:t>
      </w:r>
      <w:proofErr w:type="spellStart"/>
      <w:r w:rsidRPr="00013149">
        <w:t>kΩ</w:t>
      </w:r>
      <w:proofErr w:type="spellEnd"/>
      <w:r w:rsidRPr="00013149">
        <w:t xml:space="preserve"> (R33 y R34) atadas al riel de 3.3 V. Esto asegura estados lógicos definidos frente al ruido electromagnético ambiental.</w:t>
      </w:r>
    </w:p>
    <w:p w14:paraId="21E2CA04" w14:textId="77777777" w:rsidR="00013149" w:rsidRPr="00013149" w:rsidRDefault="00013149" w:rsidP="00013149">
      <w:pPr>
        <w:ind w:left="720"/>
        <w:jc w:val="both"/>
      </w:pPr>
    </w:p>
    <w:p w14:paraId="49185C72" w14:textId="77777777" w:rsidR="00013149" w:rsidRPr="00013149" w:rsidRDefault="00013149" w:rsidP="00013149">
      <w:pPr>
        <w:numPr>
          <w:ilvl w:val="0"/>
          <w:numId w:val="11"/>
        </w:numPr>
        <w:jc w:val="both"/>
      </w:pPr>
      <w:r w:rsidRPr="00013149">
        <w:rPr>
          <w:b/>
          <w:bCs/>
        </w:rPr>
        <w:lastRenderedPageBreak/>
        <w:t xml:space="preserve">Filtrado: </w:t>
      </w:r>
      <w:r w:rsidRPr="00013149">
        <w:t>Se incluyó un capacitor de desacoplo (C58 de 0.1 µF) en la alimentación del sensor para mitigar fluctuaciones y evitar falsos conteos de pulsos que podrían desestabilizar el algoritmo de control de posición del resucitador. Además, se añadieron puntos de prueba (</w:t>
      </w:r>
      <w:proofErr w:type="spellStart"/>
      <w:r w:rsidRPr="00013149">
        <w:t>TestPoints</w:t>
      </w:r>
      <w:proofErr w:type="spellEnd"/>
      <w:r w:rsidRPr="00013149">
        <w:t xml:space="preserve"> M_N1 y M_P1) para facilitar la calibración y el diagnóstico de las señales con osciloscopio durante la validación del sistema.</w:t>
      </w:r>
    </w:p>
    <w:p w14:paraId="51C7EF69" w14:textId="77777777" w:rsidR="00013149" w:rsidRPr="00013149" w:rsidRDefault="00013149" w:rsidP="00013149">
      <w:pPr>
        <w:jc w:val="both"/>
        <w:rPr>
          <w:b/>
          <w:bCs/>
        </w:rPr>
      </w:pPr>
    </w:p>
    <w:p w14:paraId="3E9B9320" w14:textId="77777777" w:rsidR="00B23CC5" w:rsidRPr="00B23CC5" w:rsidRDefault="00B23CC5" w:rsidP="00B23CC5">
      <w:pPr>
        <w:rPr>
          <w:b/>
          <w:bCs/>
          <w:sz w:val="36"/>
          <w:szCs w:val="36"/>
        </w:rPr>
      </w:pPr>
      <w:r w:rsidRPr="00B23CC5">
        <w:rPr>
          <w:b/>
          <w:bCs/>
          <w:sz w:val="36"/>
          <w:szCs w:val="36"/>
        </w:rPr>
        <w:t>Unidad central de procesamiento y control (ESP32)</w:t>
      </w:r>
    </w:p>
    <w:p w14:paraId="7168044B" w14:textId="77777777" w:rsidR="00B23CC5" w:rsidRPr="00B23CC5" w:rsidRDefault="00B23CC5" w:rsidP="00B23CC5">
      <w:r w:rsidRPr="00B23CC5">
        <w:rPr>
          <w:b/>
          <w:bCs/>
        </w:rPr>
        <w:t>Introducción y justificación del microcontrolador</w:t>
      </w:r>
      <w:r w:rsidRPr="00B23CC5">
        <w:t xml:space="preserve"> El núcleo lógico del sistema AUTOAMBU está conformado por el módulo de procesamiento ESP32, encargado de adquirir los datos de los sensores, ejecutar los algoritmos de control de lazo cerrado para el actuador mecánico y gestionar las comunicaciones del dispositivo.</w:t>
      </w:r>
    </w:p>
    <w:p w14:paraId="3E79B100" w14:textId="77777777" w:rsidR="00B23CC5" w:rsidRDefault="00B23CC5" w:rsidP="00B23CC5">
      <w:r w:rsidRPr="00B23CC5">
        <w:t>Para este prototipo, se implementó el módulo ESP32-WROOM-32U. Aunque la hoja de datos más reciente de Espressif recomienda la variante ESP32-WROOM-32UE para nuevos diseños debido a mejoras de eficiencia en el silicio, se optó por la versión 32U para aprovechar la disponibilidad inmediata de inventario durante la fase de desarrollo. Dado que ambos módulos poseen compatibilidad estricta de pines (pin-</w:t>
      </w:r>
      <w:proofErr w:type="spellStart"/>
      <w:r w:rsidRPr="00B23CC5">
        <w:t>to</w:t>
      </w:r>
      <w:proofErr w:type="spellEnd"/>
      <w:r w:rsidRPr="00B23CC5">
        <w:t>-pin) y un factor de forma idéntico, la arquitectura de la tarjeta permite una futura migración a la versión 32UE sin necesidad de modificar el diseño de la placa de circuito impreso (PCB).</w:t>
      </w:r>
    </w:p>
    <w:p w14:paraId="1F34B326" w14:textId="1D0B3EBE" w:rsidR="00B23CC5" w:rsidRPr="00B23CC5" w:rsidRDefault="00B23CC5" w:rsidP="00B23CC5">
      <w:pPr>
        <w:rPr>
          <w:b/>
          <w:bCs/>
          <w:color w:val="EE0000"/>
        </w:rPr>
      </w:pPr>
      <w:r w:rsidRPr="00B23CC5">
        <w:rPr>
          <w:b/>
          <w:bCs/>
          <w:color w:val="EE0000"/>
        </w:rPr>
        <w:t xml:space="preserve">Anadir imagen del </w:t>
      </w:r>
      <w:proofErr w:type="spellStart"/>
      <w:r w:rsidRPr="00B23CC5">
        <w:rPr>
          <w:b/>
          <w:bCs/>
          <w:color w:val="EE0000"/>
        </w:rPr>
        <w:t>esquematico</w:t>
      </w:r>
      <w:proofErr w:type="spellEnd"/>
      <w:r w:rsidRPr="00B23CC5">
        <w:rPr>
          <w:b/>
          <w:bCs/>
          <w:color w:val="EE0000"/>
        </w:rPr>
        <w:t xml:space="preserve"> ESP-32 32U</w:t>
      </w:r>
    </w:p>
    <w:p w14:paraId="21181A28" w14:textId="5D16BB4C" w:rsidR="00B23CC5" w:rsidRDefault="00B23CC5" w:rsidP="00B23CC5">
      <w:r w:rsidRPr="00B23CC5">
        <w:t xml:space="preserve">Esquemático del microcontrolador ESP32-WROOM-32U, interfaz UART y circuito de </w:t>
      </w:r>
      <w:proofErr w:type="spellStart"/>
      <w:r w:rsidRPr="00B23CC5">
        <w:t>auto-programación</w:t>
      </w:r>
      <w:proofErr w:type="spellEnd"/>
      <w:r w:rsidRPr="00B23CC5">
        <w:t>.</w:t>
      </w:r>
    </w:p>
    <w:p w14:paraId="7652BAD6" w14:textId="77777777" w:rsidR="00B23CC5" w:rsidRDefault="00B23CC5" w:rsidP="00B23CC5"/>
    <w:p w14:paraId="69796263" w14:textId="1EC4FA00" w:rsidR="00B23CC5" w:rsidRDefault="00B23CC5" w:rsidP="00B23CC5">
      <w:r w:rsidRPr="00B23CC5">
        <w:rPr>
          <w:b/>
          <w:bCs/>
        </w:rPr>
        <w:t>Acondicionamiento de energía</w:t>
      </w:r>
      <w:r w:rsidRPr="00B23CC5">
        <w:t xml:space="preserve"> Los módulos ESP32 generan altos picos de consumo de corriente (transitorios) durante la inicialización y la transmisión de datos por radiofrecuencia. Para asegurar la estabilidad lógica y evitar reinicios inesperados (Brown-</w:t>
      </w:r>
      <w:proofErr w:type="spellStart"/>
      <w:r w:rsidRPr="00B23CC5">
        <w:t>out</w:t>
      </w:r>
      <w:proofErr w:type="spellEnd"/>
      <w:r w:rsidRPr="00B23CC5">
        <w:t xml:space="preserve"> </w:t>
      </w:r>
      <w:proofErr w:type="spellStart"/>
      <w:r w:rsidRPr="00B23CC5">
        <w:t>resets</w:t>
      </w:r>
      <w:proofErr w:type="spellEnd"/>
      <w:r w:rsidRPr="00B23CC5">
        <w:t>), se implementó un filtro capacitivo dedicado en su pin de alimentación principal de 3.3 V.</w:t>
      </w:r>
    </w:p>
    <w:p w14:paraId="6B22AE14" w14:textId="5012405C" w:rsidR="00B23CC5" w:rsidRPr="00B23CC5" w:rsidRDefault="00B23CC5" w:rsidP="00B23CC5">
      <w:r w:rsidRPr="00B23CC5">
        <w:rPr>
          <w:b/>
          <w:bCs/>
          <w:color w:val="EE0000"/>
        </w:rPr>
        <w:t xml:space="preserve">Anadir imagen del </w:t>
      </w:r>
      <w:r w:rsidRPr="00B23CC5">
        <w:rPr>
          <w:b/>
          <w:bCs/>
          <w:color w:val="EE0000"/>
        </w:rPr>
        <w:t>esquemático</w:t>
      </w:r>
      <w:r>
        <w:rPr>
          <w:b/>
          <w:bCs/>
          <w:color w:val="EE0000"/>
        </w:rPr>
        <w:t xml:space="preserve"> filtrado de esp32</w:t>
      </w:r>
    </w:p>
    <w:p w14:paraId="5726349F" w14:textId="7C241F0A" w:rsidR="00B23CC5" w:rsidRDefault="00B23CC5" w:rsidP="00B23CC5">
      <w:r w:rsidRPr="00B23CC5">
        <w:t>Red de filtrado capacitivo para la alimentación del ESP32</w:t>
      </w:r>
    </w:p>
    <w:p w14:paraId="752E7C0F" w14:textId="6418EFA6" w:rsidR="00B23CC5" w:rsidRDefault="00B23CC5" w:rsidP="00B23CC5">
      <w:r w:rsidRPr="00B23CC5">
        <w:t xml:space="preserve">Como se detalla en el esquemático correspondiente, la red de filtrado consta de un capacitor electrolítico o de tantalio de 10 µF (C17) que actúa como reserva de energía para los picos de baja frecuencia, en paralelo con un capacitor cerámico de 100 </w:t>
      </w:r>
      <w:proofErr w:type="spellStart"/>
      <w:r w:rsidRPr="00B23CC5">
        <w:t>nF</w:t>
      </w:r>
      <w:proofErr w:type="spellEnd"/>
      <w:r w:rsidRPr="00B23CC5">
        <w:t xml:space="preserve"> (C16) destinado a derivar a tierra el ruido de alta frecuencia proveniente de la etapa de conmutación del regulador Buck.</w:t>
      </w:r>
    </w:p>
    <w:p w14:paraId="4A8CE6D4" w14:textId="40FEDF10" w:rsidR="00B23CC5" w:rsidRDefault="00B23CC5" w:rsidP="00B23CC5">
      <w:r w:rsidRPr="00B23CC5">
        <w:rPr>
          <w:b/>
          <w:bCs/>
        </w:rPr>
        <w:t xml:space="preserve">Interfaz de comunicación y circuito de </w:t>
      </w:r>
      <w:proofErr w:type="spellStart"/>
      <w:r w:rsidRPr="00B23CC5">
        <w:rPr>
          <w:b/>
          <w:bCs/>
        </w:rPr>
        <w:t>auto-programación</w:t>
      </w:r>
      <w:proofErr w:type="spellEnd"/>
      <w:r w:rsidRPr="00B23CC5">
        <w:t xml:space="preserve"> Para facilitar la carga de firmware y la depuración serial sin requerir herramientas externas, se integró el puente USB-a-UART CH340C (U15). Un aspecto destacable del diseño es la inclusión del circuito de </w:t>
      </w:r>
      <w:proofErr w:type="spellStart"/>
      <w:r w:rsidRPr="00B23CC5">
        <w:t>auto-programación</w:t>
      </w:r>
      <w:proofErr w:type="spellEnd"/>
      <w:r w:rsidRPr="00B23CC5">
        <w:t xml:space="preserve"> (Auto-</w:t>
      </w:r>
      <w:proofErr w:type="spellStart"/>
      <w:r w:rsidRPr="00B23CC5">
        <w:t>Program</w:t>
      </w:r>
      <w:proofErr w:type="spellEnd"/>
      <w:r w:rsidRPr="00B23CC5">
        <w:t xml:space="preserve"> </w:t>
      </w:r>
      <w:proofErr w:type="spellStart"/>
      <w:r w:rsidRPr="00B23CC5">
        <w:t>Circuit</w:t>
      </w:r>
      <w:proofErr w:type="spellEnd"/>
      <w:r w:rsidRPr="00B23CC5">
        <w:t>) basado en los transistores NPN 2N3904 (Q14 y Q16). Este arreglo lógico traduce las señales DTR y RTS provenientes del puerto USB en la secuencia correcta de pulsos lógicos bajos sobre los pines EN (</w:t>
      </w:r>
      <w:proofErr w:type="spellStart"/>
      <w:r w:rsidRPr="00B23CC5">
        <w:t>Reset</w:t>
      </w:r>
      <w:proofErr w:type="spellEnd"/>
      <w:r w:rsidRPr="00B23CC5">
        <w:t xml:space="preserve">) y BOOT (IO0) del ESP32. Esto permite que el entorno de desarrollo (IDE) ponga al </w:t>
      </w:r>
      <w:r w:rsidRPr="00B23CC5">
        <w:lastRenderedPageBreak/>
        <w:t>microcontrolador en modo de descarga de forma automática, eliminando la necesidad de interactuar con botones físicos en la placa.</w:t>
      </w:r>
    </w:p>
    <w:p w14:paraId="5EBC5689" w14:textId="77777777" w:rsidR="00C464C9" w:rsidRDefault="00C464C9" w:rsidP="00B23CC5"/>
    <w:p w14:paraId="03F65F1B" w14:textId="738FB2E2" w:rsidR="00C464C9" w:rsidRDefault="00C464C9" w:rsidP="00B23CC5">
      <w:r w:rsidRPr="00C464C9">
        <w:rPr>
          <w:b/>
          <w:bCs/>
        </w:rPr>
        <w:t>Acondicionamiento analógico para medición de batería</w:t>
      </w:r>
      <w:r w:rsidRPr="00C464C9">
        <w:t xml:space="preserve"> Monitorizar la autonomía del dispositivo médico es una función crítica. Dado que el paquete de baterías opera a un voltaje máximo de 12.6 V, el cual excede el límite de 3.3 V del convertidor analógico-digital (ADC) del ESP32, se diseñó una etapa de </w:t>
      </w:r>
      <w:proofErr w:type="spellStart"/>
      <w:r w:rsidRPr="00C464C9">
        <w:t>sensado</w:t>
      </w:r>
      <w:proofErr w:type="spellEnd"/>
      <w:r w:rsidRPr="00C464C9">
        <w:t xml:space="preserve"> dedicada.</w:t>
      </w:r>
    </w:p>
    <w:p w14:paraId="2EFCA96C" w14:textId="3920765B" w:rsidR="00C464C9" w:rsidRPr="00B23CC5" w:rsidRDefault="00C464C9" w:rsidP="00C464C9">
      <w:r w:rsidRPr="00B23CC5">
        <w:rPr>
          <w:b/>
          <w:bCs/>
          <w:color w:val="EE0000"/>
        </w:rPr>
        <w:t>Anadir imagen del esquemático</w:t>
      </w:r>
      <w:r>
        <w:rPr>
          <w:b/>
          <w:bCs/>
          <w:color w:val="EE0000"/>
        </w:rPr>
        <w:t xml:space="preserve"> </w:t>
      </w:r>
      <w:r>
        <w:rPr>
          <w:b/>
          <w:bCs/>
          <w:color w:val="EE0000"/>
        </w:rPr>
        <w:t>de batería medidor</w:t>
      </w:r>
    </w:p>
    <w:p w14:paraId="258F2891" w14:textId="77777777" w:rsidR="00C464C9" w:rsidRDefault="00C464C9" w:rsidP="00B23CC5"/>
    <w:p w14:paraId="1CFBB81F" w14:textId="76EFE9B4" w:rsidR="00C464C9" w:rsidRDefault="00C464C9" w:rsidP="00B23CC5">
      <w:r w:rsidRPr="00C464C9">
        <w:t>Circuito acondicionador con amplificador operacional para medición del nivel de batería.</w:t>
      </w:r>
    </w:p>
    <w:p w14:paraId="17F2188B" w14:textId="77777777" w:rsidR="00C464C9" w:rsidRPr="00C464C9" w:rsidRDefault="00C464C9" w:rsidP="00C464C9">
      <w:r w:rsidRPr="00C464C9">
        <w:t xml:space="preserve">La tensión de la batería (V_BATTERY_1) se reduce mediante un divisor resistivo conformado por R36 (30 </w:t>
      </w:r>
      <w:proofErr w:type="spellStart"/>
      <w:r w:rsidRPr="00C464C9">
        <w:t>kΩ</w:t>
      </w:r>
      <w:proofErr w:type="spellEnd"/>
      <w:r w:rsidRPr="00C464C9">
        <w:t xml:space="preserve">) y R35 (10 </w:t>
      </w:r>
      <w:proofErr w:type="spellStart"/>
      <w:r w:rsidRPr="00C464C9">
        <w:t>kΩ</w:t>
      </w:r>
      <w:proofErr w:type="spellEnd"/>
      <w:r w:rsidRPr="00C464C9">
        <w:t>), entregando un máximo teórico de 3.15 V. Para evitar que el capacitor de muestreo interno del ADC del microcontrolador altere esta medición al drenar corriente del divisor, se incorporó un amplificador operacional LM358DR (U5A) configurado como seguidor de tensión (buffer). Esta etapa proporciona una alta impedancia de entrada hacia el divisor y una baja impedancia de salida hacia el pin analógico VN_1, garantizando lecturas precisas, las cuales son filtradas adicionalmente por el capacitor C60 (0.1 µF).</w:t>
      </w:r>
    </w:p>
    <w:p w14:paraId="3DA450E8" w14:textId="77777777" w:rsidR="00C464C9" w:rsidRPr="00C464C9" w:rsidRDefault="00C464C9" w:rsidP="00C464C9">
      <w:r w:rsidRPr="00C464C9">
        <w:rPr>
          <w:b/>
          <w:bCs/>
        </w:rPr>
        <w:t>Expansión y conectividad periférica</w:t>
      </w:r>
      <w:r w:rsidRPr="00C464C9">
        <w:t xml:space="preserve"> Finalmente, para integrar la pantalla, los sensores externos y el </w:t>
      </w:r>
      <w:proofErr w:type="spellStart"/>
      <w:r w:rsidRPr="00C464C9">
        <w:t>encoder</w:t>
      </w:r>
      <w:proofErr w:type="spellEnd"/>
      <w:r w:rsidRPr="00C464C9">
        <w:t>, se dispuso un conector principal de 20 pines (H2).</w:t>
      </w:r>
    </w:p>
    <w:p w14:paraId="47C3814F" w14:textId="33EA1FB8" w:rsidR="00C464C9" w:rsidRPr="00C464C9" w:rsidRDefault="00C464C9" w:rsidP="00C464C9">
      <w:pPr>
        <w:rPr>
          <w:b/>
          <w:bCs/>
          <w:i/>
          <w:iCs/>
          <w:color w:val="EE0000"/>
        </w:rPr>
      </w:pPr>
      <w:r w:rsidRPr="00C464C9">
        <w:rPr>
          <w:b/>
          <w:bCs/>
          <w:i/>
          <w:iCs/>
          <w:color w:val="EE0000"/>
        </w:rPr>
        <w:t>(Aquí debes insertar la imagen</w:t>
      </w:r>
      <w:r>
        <w:rPr>
          <w:b/>
          <w:bCs/>
          <w:i/>
          <w:iCs/>
          <w:color w:val="EE0000"/>
        </w:rPr>
        <w:t xml:space="preserve"> </w:t>
      </w:r>
      <w:proofErr w:type="spellStart"/>
      <w:r>
        <w:rPr>
          <w:b/>
          <w:bCs/>
          <w:i/>
          <w:iCs/>
          <w:color w:val="EE0000"/>
        </w:rPr>
        <w:t>esquematico</w:t>
      </w:r>
      <w:proofErr w:type="spellEnd"/>
      <w:r>
        <w:rPr>
          <w:b/>
          <w:bCs/>
          <w:i/>
          <w:iCs/>
          <w:color w:val="EE0000"/>
        </w:rPr>
        <w:t xml:space="preserve"> de conector de pines</w:t>
      </w:r>
      <w:r w:rsidRPr="00C464C9">
        <w:rPr>
          <w:b/>
          <w:bCs/>
          <w:i/>
          <w:iCs/>
          <w:color w:val="EE0000"/>
        </w:rPr>
        <w:t xml:space="preserve"> </w:t>
      </w:r>
    </w:p>
    <w:p w14:paraId="63C0A7E6" w14:textId="2AE25429" w:rsidR="00C464C9" w:rsidRPr="00C464C9" w:rsidRDefault="00C464C9" w:rsidP="00C464C9">
      <w:r w:rsidRPr="00C464C9">
        <w:rPr>
          <w:i/>
          <w:iCs/>
        </w:rPr>
        <w:t>Interfaz de periféricos y resistencias de acondicionamiento I²C.</w:t>
      </w:r>
    </w:p>
    <w:p w14:paraId="01FF130C" w14:textId="12FE3FE3" w:rsidR="00C464C9" w:rsidRDefault="00C464C9" w:rsidP="00B23CC5">
      <w:r w:rsidRPr="00C464C9">
        <w:t xml:space="preserve">En esta sección se incluyeron resistencias de </w:t>
      </w:r>
      <w:proofErr w:type="spellStart"/>
      <w:r w:rsidRPr="00C464C9">
        <w:t>pull</w:t>
      </w:r>
      <w:proofErr w:type="spellEnd"/>
      <w:r w:rsidRPr="00C464C9">
        <w:t xml:space="preserve">-up de 4.7 </w:t>
      </w:r>
      <w:proofErr w:type="spellStart"/>
      <w:r w:rsidRPr="00C464C9">
        <w:t>kΩ</w:t>
      </w:r>
      <w:proofErr w:type="spellEnd"/>
      <w:r w:rsidRPr="00C464C9">
        <w:t xml:space="preserve"> (R28 y R32) para los buses de comunicación I²C, asegurando los estados lógicos altos necesarios para los dispositivos esclavos de la interfaz de usuario. Asimismo, se incorporaron jumpers de selección (JP5 y JP7) apoyados por resistencias </w:t>
      </w:r>
      <w:proofErr w:type="spellStart"/>
      <w:r w:rsidRPr="00C464C9">
        <w:t>pull-down</w:t>
      </w:r>
      <w:proofErr w:type="spellEnd"/>
      <w:r w:rsidRPr="00C464C9">
        <w:t xml:space="preserve"> de 10 </w:t>
      </w:r>
      <w:proofErr w:type="spellStart"/>
      <w:r w:rsidRPr="00C464C9">
        <w:t>kΩ</w:t>
      </w:r>
      <w:proofErr w:type="spellEnd"/>
      <w:r w:rsidRPr="00C464C9">
        <w:t>, dotando al sistema de flexibilidad para configurar parámetros por hardware o modificar el comportamiento del dispositivo sin alterar el firmware.</w:t>
      </w:r>
    </w:p>
    <w:p w14:paraId="24CEBA79" w14:textId="7AAE8AA2" w:rsidR="00C464C9" w:rsidRDefault="00C464C9" w:rsidP="00B23CC5">
      <w:pPr>
        <w:rPr>
          <w:b/>
          <w:bCs/>
          <w:sz w:val="24"/>
          <w:szCs w:val="24"/>
        </w:rPr>
      </w:pPr>
      <w:r w:rsidRPr="00C464C9">
        <w:rPr>
          <w:b/>
          <w:bCs/>
          <w:sz w:val="24"/>
          <w:szCs w:val="24"/>
        </w:rPr>
        <w:t>Sistema de nodos de prueba para diagnóstico (Test Points)</w:t>
      </w:r>
    </w:p>
    <w:p w14:paraId="60D59C3C" w14:textId="1C41421B" w:rsidR="00C464C9" w:rsidRDefault="00C464C9" w:rsidP="00B23CC5">
      <w:r w:rsidRPr="00C464C9">
        <w:t>Introducción En el diseño de sistemas médicos y de control embebido industrial, es fundamental prever etapas que faciliten la puesta en marcha, la depuración en tiempo real y la validación segura del hardware. Para evitar cortocircuitos accidentales durante la manipulación con puntas de osciloscopio o multímetros sobre los pines de los componentes superficiales, se integró una red de nodos de prueba físicos (</w:t>
      </w:r>
      <w:r w:rsidRPr="00C464C9">
        <w:rPr>
          <w:i/>
          <w:iCs/>
        </w:rPr>
        <w:t>Test Points</w:t>
      </w:r>
      <w:r w:rsidRPr="00C464C9">
        <w:t>) distribuidos estratégicamente en los rieles principales de alimentación y referencia del circuito.</w:t>
      </w:r>
    </w:p>
    <w:p w14:paraId="06B0F0E0" w14:textId="77777777" w:rsidR="00C464C9" w:rsidRDefault="00C464C9" w:rsidP="00B23CC5"/>
    <w:p w14:paraId="4A534AD3" w14:textId="721E8622" w:rsidR="00C464C9" w:rsidRPr="00C464C9" w:rsidRDefault="00C464C9" w:rsidP="00B23CC5">
      <w:pPr>
        <w:rPr>
          <w:b/>
          <w:bCs/>
          <w:color w:val="EE0000"/>
        </w:rPr>
      </w:pPr>
      <w:r w:rsidRPr="00C464C9">
        <w:rPr>
          <w:b/>
          <w:bCs/>
          <w:color w:val="EE0000"/>
        </w:rPr>
        <w:t xml:space="preserve">Añadir imagen de los test </w:t>
      </w:r>
      <w:proofErr w:type="spellStart"/>
      <w:r w:rsidRPr="00C464C9">
        <w:rPr>
          <w:b/>
          <w:bCs/>
          <w:color w:val="EE0000"/>
        </w:rPr>
        <w:t>point</w:t>
      </w:r>
      <w:proofErr w:type="spellEnd"/>
    </w:p>
    <w:p w14:paraId="0A726F21" w14:textId="4D156F15" w:rsidR="00C464C9" w:rsidRDefault="00C464C9" w:rsidP="00B23CC5">
      <w:r w:rsidRPr="00C464C9">
        <w:t>Esquemático de los nodos de prueba asignados a los buses de potencia y tierra del sistema.</w:t>
      </w:r>
    </w:p>
    <w:p w14:paraId="3C241933" w14:textId="77777777" w:rsidR="00C464C9" w:rsidRPr="00C464C9" w:rsidRDefault="00C464C9" w:rsidP="00C464C9">
      <w:r w:rsidRPr="00C464C9">
        <w:rPr>
          <w:b/>
          <w:bCs/>
        </w:rPr>
        <w:lastRenderedPageBreak/>
        <w:t>Justificación técnica de los nodos de medición</w:t>
      </w:r>
      <w:r w:rsidRPr="00C464C9">
        <w:t xml:space="preserve"> La red de puntos de prueba expone los voltajes críticos del sistema, permitiendo evaluar la eficiencia de las etapas de regulación, la caída de tensión en líneas de alta corriente y la calidad del filtrado contra el rizado eléctrico:</w:t>
      </w:r>
    </w:p>
    <w:p w14:paraId="4FE79A1C" w14:textId="77777777" w:rsidR="00C464C9" w:rsidRPr="00C464C9" w:rsidRDefault="00C464C9" w:rsidP="00C464C9">
      <w:pPr>
        <w:numPr>
          <w:ilvl w:val="0"/>
          <w:numId w:val="12"/>
        </w:numPr>
      </w:pPr>
      <w:r w:rsidRPr="00C464C9">
        <w:rPr>
          <w:b/>
          <w:bCs/>
        </w:rPr>
        <w:t>Nodo de Entrada Principal (USB2 / V5_1):</w:t>
      </w:r>
      <w:r w:rsidRPr="00C464C9">
        <w:t xml:space="preserve"> Permite verificar de manera directa el éxito de la negociación de carga rápida gestionada por el CH224K. A través de este punto se valida si la fuente externa está entregando de forma estable la tensión de entrada nominal antes de ingresar a la etapa de carga de la batería.</w:t>
      </w:r>
    </w:p>
    <w:p w14:paraId="0310032F" w14:textId="77777777" w:rsidR="00C464C9" w:rsidRPr="00C464C9" w:rsidRDefault="00C464C9" w:rsidP="00C464C9">
      <w:pPr>
        <w:numPr>
          <w:ilvl w:val="0"/>
          <w:numId w:val="12"/>
        </w:numPr>
      </w:pPr>
      <w:r w:rsidRPr="00C464C9">
        <w:rPr>
          <w:b/>
          <w:bCs/>
        </w:rPr>
        <w:t>Nodo de Regulación Lógica (3.3V3 / 3.3V):</w:t>
      </w:r>
      <w:r w:rsidRPr="00C464C9">
        <w:t xml:space="preserve"> Posicionado a la salida del convertidor conmutado LM2576. Es el punto crítico para diagnosticar la estabilidad de la alimentación analógica y digital del ESP32, permitiendo medir con osciloscopio cualquier acoplamiento de ruido de conmutación o caídas de tensión bruscas cuando el microcontrolador activa sus periféricos inalámbricos.</w:t>
      </w:r>
    </w:p>
    <w:p w14:paraId="1856E1D7" w14:textId="4484E824" w:rsidR="00C464C9" w:rsidRPr="00C464C9" w:rsidRDefault="00C464C9" w:rsidP="00C464C9">
      <w:pPr>
        <w:numPr>
          <w:ilvl w:val="0"/>
          <w:numId w:val="12"/>
        </w:numPr>
      </w:pPr>
      <w:r w:rsidRPr="00C464C9">
        <w:rPr>
          <w:b/>
          <w:bCs/>
        </w:rPr>
        <w:t>Nodos de Fuerza del Actuador (BATTERY1 y BATTERY2 / VCC_MOTOR):</w:t>
      </w:r>
      <w:r w:rsidRPr="00C464C9">
        <w:t xml:space="preserve"> El diseño incorpora dos puntos de prueba independientes para el bus que alimenta el puente H del motor. Esta decisión responde a la necesidad de evaluar el comportamiento dinámico de la batería bajo carga. Al contar con dos terminales en diferentes ubicaciones del trazo físico, es posible medir la impedancia de la pista de potencia y la caída óhmica (</w:t>
      </w:r>
      <m:oMath>
        <m:r>
          <w:rPr>
            <w:rFonts w:ascii="Cambria Math" w:hAnsi="Cambria Math"/>
          </w:rPr>
          <m:t>I⋅R</m:t>
        </m:r>
      </m:oMath>
      <w:r w:rsidRPr="00C464C9">
        <w:t>) provocada por las corrientes transitorias de arranque y frenado del motor.</w:t>
      </w:r>
    </w:p>
    <w:p w14:paraId="5822BEB0" w14:textId="77777777" w:rsidR="00C464C9" w:rsidRPr="00C464C9" w:rsidRDefault="00C464C9" w:rsidP="00C464C9">
      <w:pPr>
        <w:numPr>
          <w:ilvl w:val="0"/>
          <w:numId w:val="12"/>
        </w:numPr>
      </w:pPr>
      <w:r w:rsidRPr="00C464C9">
        <w:rPr>
          <w:b/>
          <w:bCs/>
        </w:rPr>
        <w:t>Nodo de Referencia Global (GND3 / GND):</w:t>
      </w:r>
      <w:r w:rsidRPr="00C464C9">
        <w:t xml:space="preserve"> Proporciona un punto de conexión seguro y de baja impedancia para la pinza de tierra de los instrumentos de medición. Al centralizarse con los demás puntos de prueba, minimiza el área del lazo de retorno de las puntas de prueba, evitando la captura de ruido electromagnético ambiental durante las lecturas.</w:t>
      </w:r>
    </w:p>
    <w:p w14:paraId="3D2A0755" w14:textId="77777777" w:rsidR="00C464C9" w:rsidRPr="00C464C9" w:rsidRDefault="00C464C9" w:rsidP="00B23CC5"/>
    <w:p w14:paraId="03502790" w14:textId="77777777" w:rsidR="00B23CC5" w:rsidRDefault="00B23CC5" w:rsidP="00B23CC5"/>
    <w:p w14:paraId="6C47480A" w14:textId="77777777" w:rsidR="00B23CC5" w:rsidRDefault="00B23CC5" w:rsidP="00B23CC5"/>
    <w:p w14:paraId="6EE6D70A" w14:textId="77777777" w:rsidR="00B23CC5" w:rsidRPr="00B23CC5" w:rsidRDefault="00B23CC5" w:rsidP="00B23CC5"/>
    <w:p w14:paraId="7C6BAC21" w14:textId="77777777" w:rsidR="00E36D2C" w:rsidRDefault="00E36D2C"/>
    <w:p w14:paraId="2FB321B9" w14:textId="77777777" w:rsidR="00415A75" w:rsidRDefault="00415A75"/>
    <w:p w14:paraId="6C0085DB" w14:textId="77777777" w:rsidR="00B23CC5" w:rsidRDefault="00B23CC5"/>
    <w:p w14:paraId="30ADCD2E" w14:textId="77777777" w:rsidR="00B23CC5" w:rsidRDefault="00B23CC5"/>
    <w:p w14:paraId="56A523B1" w14:textId="77777777" w:rsidR="00B23CC5" w:rsidRDefault="00B23CC5"/>
    <w:p w14:paraId="64022500" w14:textId="77777777" w:rsidR="00B23CC5" w:rsidRDefault="00B23CC5"/>
    <w:p w14:paraId="11C53577" w14:textId="77777777" w:rsidR="00B23CC5" w:rsidRDefault="00B23CC5"/>
    <w:p w14:paraId="13A93EF7" w14:textId="77777777" w:rsidR="00B23CC5" w:rsidRDefault="00B23CC5"/>
    <w:p w14:paraId="0DA28C37" w14:textId="77777777" w:rsidR="00415A75" w:rsidRPr="00640C1C" w:rsidRDefault="00415A75"/>
    <w:p w14:paraId="1057E3D6" w14:textId="7FAFED5F" w:rsidR="008E1E00" w:rsidRPr="00E36D2C" w:rsidRDefault="00A62F1B">
      <w:r w:rsidRPr="00E36D2C">
        <w:lastRenderedPageBreak/>
        <w:t xml:space="preserve">Desarrollo </w:t>
      </w:r>
      <w:proofErr w:type="spellStart"/>
      <w:r w:rsidRPr="00E36D2C">
        <w:t>electronico</w:t>
      </w:r>
      <w:proofErr w:type="spellEnd"/>
      <w:r w:rsidRPr="00E36D2C">
        <w:t xml:space="preserve"> de </w:t>
      </w:r>
      <w:proofErr w:type="spellStart"/>
      <w:r w:rsidRPr="00E36D2C">
        <w:t>ambu</w:t>
      </w:r>
      <w:proofErr w:type="spellEnd"/>
      <w:r w:rsidRPr="00E36D2C">
        <w:t xml:space="preserve">: </w:t>
      </w:r>
    </w:p>
    <w:p w14:paraId="2A87B636" w14:textId="6AF87DD0" w:rsidR="00A62F1B" w:rsidRDefault="00A62F1B">
      <w:r w:rsidRPr="00A62F1B">
        <w:t xml:space="preserve">Primeramente establecimos la </w:t>
      </w:r>
      <w:proofErr w:type="spellStart"/>
      <w:r w:rsidRPr="00A62F1B">
        <w:t>maquina</w:t>
      </w:r>
      <w:proofErr w:type="spellEnd"/>
      <w:r w:rsidRPr="00A62F1B">
        <w:t xml:space="preserve"> de e</w:t>
      </w:r>
      <w:r>
        <w:t>stado de nuest</w:t>
      </w:r>
      <w:r w:rsidR="005E058C">
        <w:t>ro producto</w:t>
      </w:r>
    </w:p>
    <w:p w14:paraId="30EE6375" w14:textId="77777777" w:rsidR="005E058C" w:rsidRPr="005E058C" w:rsidRDefault="005E058C" w:rsidP="005E058C">
      <w:r w:rsidRPr="005E058C">
        <w:t xml:space="preserve">  Introducción al diseño electrónico. </w:t>
      </w:r>
    </w:p>
    <w:p w14:paraId="446A523A" w14:textId="77777777" w:rsidR="005E058C" w:rsidRPr="005E058C" w:rsidRDefault="005E058C" w:rsidP="005E058C">
      <w:r w:rsidRPr="005E058C">
        <w:t xml:space="preserve">  Arquitectura electrónica del sistema. </w:t>
      </w:r>
    </w:p>
    <w:p w14:paraId="3DE142ED" w14:textId="77777777" w:rsidR="005E058C" w:rsidRPr="005E058C" w:rsidRDefault="005E058C" w:rsidP="005E058C">
      <w:r w:rsidRPr="005E058C">
        <w:t xml:space="preserve">  Selección de componentes. </w:t>
      </w:r>
    </w:p>
    <w:p w14:paraId="05D15F5C" w14:textId="77777777" w:rsidR="005E058C" w:rsidRPr="005E058C" w:rsidRDefault="005E058C" w:rsidP="005E058C">
      <w:r w:rsidRPr="005E058C">
        <w:t xml:space="preserve">  Diseño esquemático. </w:t>
      </w:r>
    </w:p>
    <w:p w14:paraId="4C43F70E" w14:textId="77777777" w:rsidR="005E058C" w:rsidRPr="005E058C" w:rsidRDefault="005E058C" w:rsidP="005E058C">
      <w:r w:rsidRPr="005E058C">
        <w:t xml:space="preserve">  Diseño de la PCB. </w:t>
      </w:r>
    </w:p>
    <w:p w14:paraId="6669BB7C" w14:textId="77777777" w:rsidR="005E058C" w:rsidRPr="005E058C" w:rsidRDefault="005E058C" w:rsidP="005E058C">
      <w:r w:rsidRPr="005E058C">
        <w:t xml:space="preserve">  Gestión de alimentación. </w:t>
      </w:r>
    </w:p>
    <w:p w14:paraId="014A775E" w14:textId="77777777" w:rsidR="005E058C" w:rsidRPr="005E058C" w:rsidRDefault="005E058C" w:rsidP="005E058C">
      <w:r w:rsidRPr="005E058C">
        <w:t xml:space="preserve">  Sistema de control. </w:t>
      </w:r>
    </w:p>
    <w:p w14:paraId="20D1F32B" w14:textId="77777777" w:rsidR="005E058C" w:rsidRPr="005E058C" w:rsidRDefault="005E058C" w:rsidP="005E058C">
      <w:r w:rsidRPr="005E058C">
        <w:t xml:space="preserve">  Sensores. </w:t>
      </w:r>
    </w:p>
    <w:p w14:paraId="316A7DEF" w14:textId="77777777" w:rsidR="005E058C" w:rsidRPr="005E058C" w:rsidRDefault="005E058C" w:rsidP="005E058C">
      <w:r w:rsidRPr="005E058C">
        <w:t xml:space="preserve">  Actuadores. </w:t>
      </w:r>
    </w:p>
    <w:p w14:paraId="5D6DF979" w14:textId="77777777" w:rsidR="005E058C" w:rsidRPr="005E058C" w:rsidRDefault="005E058C" w:rsidP="005E058C">
      <w:r w:rsidRPr="005E058C">
        <w:t xml:space="preserve">  Protección eléctrica. </w:t>
      </w:r>
    </w:p>
    <w:p w14:paraId="5F088FA1" w14:textId="77777777" w:rsidR="005E058C" w:rsidRPr="005E058C" w:rsidRDefault="005E058C" w:rsidP="005E058C">
      <w:r w:rsidRPr="005E058C">
        <w:t xml:space="preserve">  Comunicación entre módulos. </w:t>
      </w:r>
    </w:p>
    <w:p w14:paraId="3815AD56" w14:textId="667AEE99" w:rsidR="005E058C" w:rsidRDefault="005E058C" w:rsidP="005E058C">
      <w:r w:rsidRPr="005E058C">
        <w:t>  Validación del diseño.</w:t>
      </w:r>
    </w:p>
    <w:p w14:paraId="0F061A8F" w14:textId="77777777" w:rsidR="00C32EEB" w:rsidRDefault="00C32EEB" w:rsidP="005E058C"/>
    <w:p w14:paraId="3CE0D1B0" w14:textId="77777777" w:rsidR="00C32EEB" w:rsidRDefault="00C32EEB" w:rsidP="005E058C"/>
    <w:p w14:paraId="0221616A" w14:textId="77777777" w:rsidR="00C32EEB" w:rsidRDefault="00C32EEB" w:rsidP="005E058C"/>
    <w:p w14:paraId="63E38F71" w14:textId="77777777" w:rsidR="00C32EEB" w:rsidRDefault="00C32EEB" w:rsidP="005E058C"/>
    <w:p w14:paraId="02B4EB8F" w14:textId="77777777" w:rsidR="00C32EEB" w:rsidRDefault="00C32EEB" w:rsidP="005E058C"/>
    <w:p w14:paraId="10926924" w14:textId="77777777" w:rsidR="00C32EEB" w:rsidRDefault="00C32EEB" w:rsidP="005E058C"/>
    <w:p w14:paraId="14F45D46" w14:textId="77777777" w:rsidR="00C32EEB" w:rsidRDefault="00C32EEB" w:rsidP="005E058C"/>
    <w:p w14:paraId="24C8F95E" w14:textId="77777777" w:rsidR="00C32EEB" w:rsidRDefault="00C32EEB" w:rsidP="005E058C"/>
    <w:p w14:paraId="7889B872" w14:textId="77777777" w:rsidR="00C32EEB" w:rsidRDefault="00C32EEB" w:rsidP="005E058C"/>
    <w:p w14:paraId="04C7DC8C" w14:textId="77777777" w:rsidR="00C32EEB" w:rsidRDefault="00C32EEB" w:rsidP="005E058C"/>
    <w:p w14:paraId="677C12AE" w14:textId="77777777" w:rsidR="00C32EEB" w:rsidRDefault="00C32EEB" w:rsidP="005E058C"/>
    <w:p w14:paraId="0B7903D6" w14:textId="77777777" w:rsidR="00C32EEB" w:rsidRDefault="00C32EEB" w:rsidP="005E058C"/>
    <w:p w14:paraId="34613292" w14:textId="77777777" w:rsidR="00C32EEB" w:rsidRDefault="00C32EEB" w:rsidP="005E058C"/>
    <w:p w14:paraId="4D212EBD" w14:textId="77777777" w:rsidR="00C32EEB" w:rsidRDefault="00C32EEB" w:rsidP="005E058C"/>
    <w:p w14:paraId="77D380D2" w14:textId="77777777" w:rsidR="00C32EEB" w:rsidRDefault="00C32EEB" w:rsidP="005E058C"/>
    <w:p w14:paraId="4E450FEB" w14:textId="77777777" w:rsidR="00C32EEB" w:rsidRDefault="00C32EEB" w:rsidP="005E058C"/>
    <w:p w14:paraId="3E57490F" w14:textId="77777777" w:rsidR="00C32EEB" w:rsidRDefault="00C32EEB" w:rsidP="005E058C"/>
    <w:p w14:paraId="29822F2D" w14:textId="77777777" w:rsidR="00C32EEB" w:rsidRPr="00C32EEB" w:rsidRDefault="00C32EEB" w:rsidP="00C32EEB">
      <w:pPr>
        <w:rPr>
          <w:b/>
          <w:bCs/>
        </w:rPr>
      </w:pPr>
      <w:r w:rsidRPr="00C32EEB">
        <w:rPr>
          <w:b/>
          <w:bCs/>
        </w:rPr>
        <w:lastRenderedPageBreak/>
        <w:t>INFORME DE EVALUACIÓN TÉCNICA DE DISEÑO DE PCB</w:t>
      </w:r>
    </w:p>
    <w:p w14:paraId="02588E32" w14:textId="77777777" w:rsidR="00C32EEB" w:rsidRPr="00C32EEB" w:rsidRDefault="00C32EEB" w:rsidP="00C32EEB">
      <w:r w:rsidRPr="00C32EEB">
        <w:rPr>
          <w:b/>
          <w:bCs/>
        </w:rPr>
        <w:t>Proyecto:</w:t>
      </w:r>
      <w:r w:rsidRPr="00C32EEB">
        <w:t xml:space="preserve"> Módulo de Control de Potencia y Lógica "AUTO AMBU" / "HYDROSCAN"</w:t>
      </w:r>
      <w:r w:rsidRPr="00C32EEB">
        <w:br/>
      </w:r>
      <w:r w:rsidRPr="00C32EEB">
        <w:rPr>
          <w:b/>
          <w:bCs/>
        </w:rPr>
        <w:t>Estado del Arte:</w:t>
      </w:r>
      <w:r w:rsidRPr="00C32EEB">
        <w:t xml:space="preserve"> Diseño Finalizado (Fase de Verificación de Reglas de Diseño - DRC)</w:t>
      </w:r>
      <w:r w:rsidRPr="00C32EEB">
        <w:br/>
      </w:r>
      <w:r w:rsidRPr="00C32EEB">
        <w:rPr>
          <w:b/>
          <w:bCs/>
        </w:rPr>
        <w:t>Voltaje de Operación Máximo:</w:t>
      </w:r>
      <w:r w:rsidRPr="00C32EEB">
        <w:t xml:space="preserve"> 15V DC</w:t>
      </w:r>
      <w:r w:rsidRPr="00C32EEB">
        <w:br/>
      </w:r>
      <w:r w:rsidRPr="00C32EEB">
        <w:rPr>
          <w:b/>
          <w:bCs/>
        </w:rPr>
        <w:t>Plataforma de Diseño:</w:t>
      </w:r>
      <w:r w:rsidRPr="00C32EEB">
        <w:t xml:space="preserve"> </w:t>
      </w:r>
      <w:proofErr w:type="spellStart"/>
      <w:r w:rsidRPr="00C32EEB">
        <w:t>KiCad</w:t>
      </w:r>
      <w:proofErr w:type="spellEnd"/>
      <w:r w:rsidRPr="00C32EEB">
        <w:t xml:space="preserve"> EDA</w:t>
      </w:r>
    </w:p>
    <w:p w14:paraId="6EBEF99E" w14:textId="77777777" w:rsidR="00C32EEB" w:rsidRDefault="00C32EEB" w:rsidP="005E058C"/>
    <w:p w14:paraId="4ECDC93A" w14:textId="03CB01B0" w:rsidR="00C32EEB" w:rsidRPr="00C32EEB" w:rsidRDefault="00C32EEB" w:rsidP="00C32EEB">
      <w:pPr>
        <w:rPr>
          <w:b/>
          <w:bCs/>
        </w:rPr>
      </w:pPr>
      <w:r>
        <w:rPr>
          <w:b/>
          <w:bCs/>
        </w:rPr>
        <w:t>-</w:t>
      </w:r>
      <w:r w:rsidRPr="00C32EEB">
        <w:rPr>
          <w:b/>
          <w:bCs/>
        </w:rPr>
        <w:t>ANÁLISIS DE CUMPLIMIENTO DE LA NORMA IPC-2221</w:t>
      </w:r>
    </w:p>
    <w:p w14:paraId="47AD9860" w14:textId="77777777" w:rsidR="00C32EEB" w:rsidRPr="00C32EEB" w:rsidRDefault="00C32EEB" w:rsidP="00C32EEB">
      <w:r w:rsidRPr="00C32EEB">
        <w:t xml:space="preserve">La norma </w:t>
      </w:r>
      <w:r w:rsidRPr="00C32EEB">
        <w:rPr>
          <w:b/>
          <w:bCs/>
        </w:rPr>
        <w:t>IPC-2221B</w:t>
      </w:r>
      <w:r w:rsidRPr="00C32EEB">
        <w:t xml:space="preserve"> (</w:t>
      </w:r>
      <w:proofErr w:type="spellStart"/>
      <w:r w:rsidRPr="00C32EEB">
        <w:rPr>
          <w:i/>
          <w:iCs/>
        </w:rPr>
        <w:t>Generic</w:t>
      </w:r>
      <w:proofErr w:type="spellEnd"/>
      <w:r w:rsidRPr="00C32EEB">
        <w:rPr>
          <w:i/>
          <w:iCs/>
        </w:rPr>
        <w:t xml:space="preserve"> Standard </w:t>
      </w:r>
      <w:proofErr w:type="spellStart"/>
      <w:r w:rsidRPr="00C32EEB">
        <w:rPr>
          <w:i/>
          <w:iCs/>
        </w:rPr>
        <w:t>on</w:t>
      </w:r>
      <w:proofErr w:type="spellEnd"/>
      <w:r w:rsidRPr="00C32EEB">
        <w:rPr>
          <w:i/>
          <w:iCs/>
        </w:rPr>
        <w:t xml:space="preserve"> </w:t>
      </w:r>
      <w:proofErr w:type="spellStart"/>
      <w:r w:rsidRPr="00C32EEB">
        <w:rPr>
          <w:i/>
          <w:iCs/>
        </w:rPr>
        <w:t>Printed</w:t>
      </w:r>
      <w:proofErr w:type="spellEnd"/>
      <w:r w:rsidRPr="00C32EEB">
        <w:rPr>
          <w:i/>
          <w:iCs/>
        </w:rPr>
        <w:t xml:space="preserve"> Board </w:t>
      </w:r>
      <w:proofErr w:type="spellStart"/>
      <w:r w:rsidRPr="00C32EEB">
        <w:rPr>
          <w:i/>
          <w:iCs/>
        </w:rPr>
        <w:t>Design</w:t>
      </w:r>
      <w:proofErr w:type="spellEnd"/>
      <w:r w:rsidRPr="00C32EEB">
        <w:t>) rige los parámetros de seguridad eléctrica, aislamiento y geometría de conductores.</w:t>
      </w:r>
    </w:p>
    <w:p w14:paraId="4503D24D" w14:textId="77777777" w:rsidR="00C32EEB" w:rsidRDefault="00C32EEB" w:rsidP="005E058C"/>
    <w:p w14:paraId="0175275A" w14:textId="77777777" w:rsidR="00C32EEB" w:rsidRPr="00C32EEB" w:rsidRDefault="00C32EEB" w:rsidP="00C32EEB">
      <w:pPr>
        <w:rPr>
          <w:b/>
          <w:bCs/>
        </w:rPr>
      </w:pPr>
      <w:r w:rsidRPr="00C32EEB">
        <w:rPr>
          <w:b/>
          <w:bCs/>
        </w:rPr>
        <w:t>Distancias de Aislamiento Eléctrico (</w:t>
      </w:r>
      <w:r w:rsidRPr="00C32EEB">
        <w:rPr>
          <w:b/>
          <w:bCs/>
          <w:i/>
          <w:iCs/>
        </w:rPr>
        <w:t>Clearance</w:t>
      </w:r>
      <w:r w:rsidRPr="00C32EEB">
        <w:rPr>
          <w:b/>
          <w:bCs/>
        </w:rPr>
        <w:t>)</w:t>
      </w:r>
    </w:p>
    <w:p w14:paraId="06735721" w14:textId="77777777" w:rsidR="00C32EEB" w:rsidRPr="00C32EEB" w:rsidRDefault="00C32EEB" w:rsidP="00C32EEB">
      <w:pPr>
        <w:numPr>
          <w:ilvl w:val="0"/>
          <w:numId w:val="1"/>
        </w:numPr>
      </w:pPr>
      <w:r w:rsidRPr="00C32EEB">
        <w:rPr>
          <w:b/>
          <w:bCs/>
        </w:rPr>
        <w:t>Requisito de la Norma:</w:t>
      </w:r>
      <w:r w:rsidRPr="00C32EEB">
        <w:t xml:space="preserve"> Para un voltaje pico de 15V DC, la Tabla 6-1 de la IPC-2221 exige un aislamiento mínimo de 0.10 mm (3.9 </w:t>
      </w:r>
      <w:proofErr w:type="spellStart"/>
      <w:r w:rsidRPr="00C32EEB">
        <w:t>mils</w:t>
      </w:r>
      <w:proofErr w:type="spellEnd"/>
      <w:r w:rsidRPr="00C32EEB">
        <w:t>) en conductores internos (B1), externos desnudos (B2) y externos con máscara de soldadura (B4).</w:t>
      </w:r>
    </w:p>
    <w:p w14:paraId="11E23FA5" w14:textId="77777777" w:rsidR="00C32EEB" w:rsidRPr="00C32EEB" w:rsidRDefault="00C32EEB" w:rsidP="00C32EEB">
      <w:pPr>
        <w:numPr>
          <w:ilvl w:val="0"/>
          <w:numId w:val="1"/>
        </w:numPr>
      </w:pPr>
      <w:r w:rsidRPr="00C32EEB">
        <w:rPr>
          <w:b/>
          <w:bCs/>
        </w:rPr>
        <w:t>Evaluación del Diseño:</w:t>
      </w:r>
      <w:r w:rsidRPr="00C32EEB">
        <w:t xml:space="preserve"> El diseño implementa una separación general entre pistas, planos y </w:t>
      </w:r>
      <w:proofErr w:type="spellStart"/>
      <w:r w:rsidRPr="00C32EEB">
        <w:t>pads</w:t>
      </w:r>
      <w:proofErr w:type="spellEnd"/>
      <w:r w:rsidRPr="00C32EEB">
        <w:t xml:space="preserve"> estimada entre 0.20 mm y 0.25 </w:t>
      </w:r>
      <w:proofErr w:type="spellStart"/>
      <w:r w:rsidRPr="00C32EEB">
        <w:t>mm.</w:t>
      </w:r>
      <w:proofErr w:type="spellEnd"/>
    </w:p>
    <w:p w14:paraId="2FB053D3" w14:textId="77777777" w:rsidR="00C32EEB" w:rsidRDefault="00C32EEB" w:rsidP="00C32EEB">
      <w:pPr>
        <w:numPr>
          <w:ilvl w:val="0"/>
          <w:numId w:val="1"/>
        </w:numPr>
      </w:pPr>
      <w:r w:rsidRPr="00C32EEB">
        <w:rPr>
          <w:b/>
          <w:bCs/>
        </w:rPr>
        <w:t>Dictamen:</w:t>
      </w:r>
      <w:r w:rsidRPr="00C32EEB">
        <w:t xml:space="preserve"> CUMPLE Y SUPERA. El diseño excede el mínimo normativo en más de un 100%, ofreciendo un margen de seguridad crítico contra contaminación superficial o humedad sin penalizar los costos de fabricación estándar.</w:t>
      </w:r>
    </w:p>
    <w:p w14:paraId="7A2A4DAD" w14:textId="77777777" w:rsidR="00C32EEB" w:rsidRDefault="00C32EEB" w:rsidP="00C32EEB"/>
    <w:p w14:paraId="487D3C3C" w14:textId="77777777" w:rsidR="00C32EEB" w:rsidRPr="00C32EEB" w:rsidRDefault="00C32EEB" w:rsidP="00C32EEB">
      <w:pPr>
        <w:rPr>
          <w:b/>
          <w:bCs/>
        </w:rPr>
      </w:pPr>
      <w:r w:rsidRPr="00C32EEB">
        <w:rPr>
          <w:b/>
          <w:bCs/>
        </w:rPr>
        <w:t>Gestión Térmica y Reglas de Potencia</w:t>
      </w:r>
    </w:p>
    <w:p w14:paraId="077CA92F" w14:textId="77777777" w:rsidR="00C32EEB" w:rsidRPr="00C32EEB" w:rsidRDefault="00C32EEB" w:rsidP="00C32EEB">
      <w:pPr>
        <w:numPr>
          <w:ilvl w:val="0"/>
          <w:numId w:val="2"/>
        </w:numPr>
      </w:pPr>
      <w:r w:rsidRPr="00C32EEB">
        <w:rPr>
          <w:b/>
          <w:bCs/>
        </w:rPr>
        <w:t>Requisito de la Norma:</w:t>
      </w:r>
      <w:r w:rsidRPr="00C32EEB">
        <w:t xml:space="preserve"> Las pistas deben dimensionarse para limitar el aumento de temperatura (Δ T) por densidad de corriente y disipar el calor eficientemente.</w:t>
      </w:r>
    </w:p>
    <w:p w14:paraId="54732C51" w14:textId="77777777" w:rsidR="00C32EEB" w:rsidRPr="00C32EEB" w:rsidRDefault="00C32EEB" w:rsidP="00C32EEB">
      <w:pPr>
        <w:numPr>
          <w:ilvl w:val="0"/>
          <w:numId w:val="2"/>
        </w:numPr>
      </w:pPr>
      <w:r w:rsidRPr="00C32EEB">
        <w:rPr>
          <w:b/>
          <w:bCs/>
        </w:rPr>
        <w:t>Evaluación del Diseño:</w:t>
      </w:r>
      <w:r w:rsidRPr="00C32EEB">
        <w:t xml:space="preserve"> Se evidencia un bloque de potencia masivo con una zona dedicada para disipador (</w:t>
      </w:r>
      <w:proofErr w:type="spellStart"/>
      <w:r w:rsidRPr="00C32EEB">
        <w:rPr>
          <w:i/>
          <w:iCs/>
        </w:rPr>
        <w:t>Heatsink</w:t>
      </w:r>
      <w:proofErr w:type="spellEnd"/>
      <w:r w:rsidRPr="00C32EEB">
        <w:t>), acompañada de técnicas de alivio térmico (</w:t>
      </w:r>
      <w:proofErr w:type="spellStart"/>
      <w:r w:rsidRPr="00C32EEB">
        <w:rPr>
          <w:i/>
          <w:iCs/>
        </w:rPr>
        <w:t>thermal</w:t>
      </w:r>
      <w:proofErr w:type="spellEnd"/>
      <w:r w:rsidRPr="00C32EEB">
        <w:rPr>
          <w:i/>
          <w:iCs/>
        </w:rPr>
        <w:t xml:space="preserve"> </w:t>
      </w:r>
      <w:proofErr w:type="spellStart"/>
      <w:r w:rsidRPr="00C32EEB">
        <w:rPr>
          <w:i/>
          <w:iCs/>
        </w:rPr>
        <w:t>relief</w:t>
      </w:r>
      <w:proofErr w:type="spellEnd"/>
      <w:r w:rsidRPr="00C32EEB">
        <w:t xml:space="preserve">) en </w:t>
      </w:r>
      <w:proofErr w:type="spellStart"/>
      <w:r w:rsidRPr="00C32EEB">
        <w:t>pads</w:t>
      </w:r>
      <w:proofErr w:type="spellEnd"/>
      <w:r w:rsidRPr="00C32EEB">
        <w:t xml:space="preserve"> expuestos a planos para asegurar una correcta soldabilidad industrial.</w:t>
      </w:r>
    </w:p>
    <w:p w14:paraId="6177FAC3" w14:textId="77777777" w:rsidR="00C32EEB" w:rsidRPr="00C32EEB" w:rsidRDefault="00C32EEB" w:rsidP="00C32EEB">
      <w:pPr>
        <w:numPr>
          <w:ilvl w:val="0"/>
          <w:numId w:val="2"/>
        </w:numPr>
      </w:pPr>
      <w:r w:rsidRPr="00C32EEB">
        <w:rPr>
          <w:b/>
          <w:bCs/>
        </w:rPr>
        <w:t>Dictamen:</w:t>
      </w:r>
      <w:r w:rsidRPr="00C32EEB">
        <w:t xml:space="preserve"> </w:t>
      </w:r>
      <w:r w:rsidRPr="00C32EEB">
        <w:rPr>
          <w:b/>
          <w:bCs/>
        </w:rPr>
        <w:t>CUMPLE</w:t>
      </w:r>
      <w:r w:rsidRPr="00C32EEB">
        <w:t>. Las áreas de cobre y la zonificación periférica de la etapa de potencia respetan los criterios de control de gradientes térmicos.</w:t>
      </w:r>
    </w:p>
    <w:p w14:paraId="43148BD7" w14:textId="77777777" w:rsidR="00C32EEB" w:rsidRPr="00C32EEB" w:rsidRDefault="00C32EEB" w:rsidP="00C32EEB">
      <w:pPr>
        <w:rPr>
          <w:b/>
          <w:bCs/>
        </w:rPr>
      </w:pPr>
      <w:r w:rsidRPr="00C32EEB">
        <w:rPr>
          <w:b/>
          <w:bCs/>
        </w:rPr>
        <w:t>Reducción de Resistencia e Inductancia de Conducción</w:t>
      </w:r>
    </w:p>
    <w:p w14:paraId="0645930C" w14:textId="77777777" w:rsidR="00C32EEB" w:rsidRPr="00C32EEB" w:rsidRDefault="00C32EEB" w:rsidP="00C32EEB">
      <w:pPr>
        <w:numPr>
          <w:ilvl w:val="0"/>
          <w:numId w:val="3"/>
        </w:numPr>
      </w:pPr>
      <w:proofErr w:type="spellStart"/>
      <w:r w:rsidRPr="00C32EEB">
        <w:rPr>
          <w:b/>
          <w:bCs/>
        </w:rPr>
        <w:t>Via</w:t>
      </w:r>
      <w:proofErr w:type="spellEnd"/>
      <w:r w:rsidRPr="00C32EEB">
        <w:rPr>
          <w:b/>
          <w:bCs/>
        </w:rPr>
        <w:t>-in-</w:t>
      </w:r>
      <w:proofErr w:type="spellStart"/>
      <w:r w:rsidRPr="00C32EEB">
        <w:rPr>
          <w:b/>
          <w:bCs/>
        </w:rPr>
        <w:t>Pad</w:t>
      </w:r>
      <w:proofErr w:type="spellEnd"/>
      <w:r w:rsidRPr="00C32EEB">
        <w:rPr>
          <w:b/>
          <w:bCs/>
        </w:rPr>
        <w:t xml:space="preserve"> (Vías en </w:t>
      </w:r>
      <w:proofErr w:type="spellStart"/>
      <w:r w:rsidRPr="00C32EEB">
        <w:rPr>
          <w:b/>
          <w:bCs/>
        </w:rPr>
        <w:t>Pad</w:t>
      </w:r>
      <w:proofErr w:type="spellEnd"/>
      <w:r w:rsidRPr="00C32EEB">
        <w:rPr>
          <w:b/>
          <w:bCs/>
        </w:rPr>
        <w:t>):</w:t>
      </w:r>
      <w:r w:rsidRPr="00C32EEB">
        <w:t xml:space="preserve"> Implementada en </w:t>
      </w:r>
      <w:proofErr w:type="spellStart"/>
      <w:r w:rsidRPr="00C32EEB">
        <w:t>pads</w:t>
      </w:r>
      <w:proofErr w:type="spellEnd"/>
      <w:r w:rsidRPr="00C32EEB">
        <w:t xml:space="preserve"> de tierra de componentes críticos. Esta técnica reduce la inductancia parásita de la conexión a masa casi a cero en comparación con las pistas de enrutamiento tradicionales hacia vías externas.</w:t>
      </w:r>
    </w:p>
    <w:p w14:paraId="3626E1F7" w14:textId="77777777" w:rsidR="00C32EEB" w:rsidRPr="00C32EEB" w:rsidRDefault="00C32EEB" w:rsidP="00C32EEB">
      <w:pPr>
        <w:numPr>
          <w:ilvl w:val="0"/>
          <w:numId w:val="3"/>
        </w:numPr>
      </w:pPr>
      <w:proofErr w:type="spellStart"/>
      <w:r w:rsidRPr="00C32EEB">
        <w:rPr>
          <w:b/>
          <w:bCs/>
        </w:rPr>
        <w:t>Via</w:t>
      </w:r>
      <w:proofErr w:type="spellEnd"/>
      <w:r w:rsidRPr="00C32EEB">
        <w:rPr>
          <w:b/>
          <w:bCs/>
        </w:rPr>
        <w:t xml:space="preserve"> </w:t>
      </w:r>
      <w:proofErr w:type="spellStart"/>
      <w:r w:rsidRPr="00C32EEB">
        <w:rPr>
          <w:b/>
          <w:bCs/>
        </w:rPr>
        <w:t>Stitching</w:t>
      </w:r>
      <w:proofErr w:type="spellEnd"/>
      <w:r w:rsidRPr="00C32EEB">
        <w:rPr>
          <w:b/>
          <w:bCs/>
        </w:rPr>
        <w:t xml:space="preserve"> (Costura de Vías de GND):</w:t>
      </w:r>
      <w:r w:rsidRPr="00C32EEB">
        <w:t xml:space="preserve"> La inclusión de múltiples vías en paralelo en las áreas de retorno de potencia y bajo el disipador disminuye drásticamente la resistencia óhmica </w:t>
      </w:r>
      <w:proofErr w:type="spellStart"/>
      <w:r w:rsidRPr="00C32EEB">
        <w:t>óhmica</w:t>
      </w:r>
      <w:proofErr w:type="spellEnd"/>
      <w:r w:rsidRPr="00C32EEB">
        <w:t xml:space="preserve"> total (R = ρ </w:t>
      </w:r>
      <w:r w:rsidRPr="00C32EEB">
        <w:rPr>
          <w:rFonts w:ascii="Cambria Math" w:hAnsi="Cambria Math" w:cs="Cambria Math"/>
        </w:rPr>
        <w:t>⋅</w:t>
      </w:r>
      <w:r w:rsidRPr="00C32EEB">
        <w:t xml:space="preserve"> L / A) y maximiza la conductividad t</w:t>
      </w:r>
      <w:r w:rsidRPr="00C32EEB">
        <w:rPr>
          <w:rFonts w:ascii="Aptos" w:hAnsi="Aptos" w:cs="Aptos"/>
        </w:rPr>
        <w:t>é</w:t>
      </w:r>
      <w:r w:rsidRPr="00C32EEB">
        <w:t>rmica hacia las capas internas o posteriores.</w:t>
      </w:r>
    </w:p>
    <w:p w14:paraId="4D24134F" w14:textId="77777777" w:rsidR="00C32EEB" w:rsidRPr="00C32EEB" w:rsidRDefault="00C32EEB" w:rsidP="00C32EEB">
      <w:pPr>
        <w:rPr>
          <w:b/>
          <w:bCs/>
        </w:rPr>
      </w:pPr>
      <w:r w:rsidRPr="00C32EEB">
        <w:rPr>
          <w:b/>
          <w:bCs/>
        </w:rPr>
        <w:lastRenderedPageBreak/>
        <w:t>Inmunidad al Ruido Conducido (Red de Distribución de Potencia - PDN)</w:t>
      </w:r>
    </w:p>
    <w:p w14:paraId="7C059EE1" w14:textId="77777777" w:rsidR="00C32EEB" w:rsidRPr="00C32EEB" w:rsidRDefault="00C32EEB" w:rsidP="00C32EEB">
      <w:pPr>
        <w:numPr>
          <w:ilvl w:val="0"/>
          <w:numId w:val="4"/>
        </w:numPr>
      </w:pPr>
      <w:r w:rsidRPr="00C32EEB">
        <w:rPr>
          <w:b/>
          <w:bCs/>
        </w:rPr>
        <w:t xml:space="preserve">Distancia al Regulador </w:t>
      </w:r>
      <w:proofErr w:type="spellStart"/>
      <w:r w:rsidRPr="00C32EEB">
        <w:rPr>
          <w:b/>
          <w:bCs/>
        </w:rPr>
        <w:t>Switching</w:t>
      </w:r>
      <w:proofErr w:type="spellEnd"/>
      <w:r w:rsidRPr="00C32EEB">
        <w:rPr>
          <w:b/>
          <w:bCs/>
        </w:rPr>
        <w:t>:</w:t>
      </w:r>
      <w:r w:rsidRPr="00C32EEB">
        <w:t xml:space="preserve"> El lazo conmutado (LM25XX) se ubica a una distancia física de </w:t>
      </w:r>
      <w:r w:rsidRPr="00C32EEB">
        <w:rPr>
          <w:b/>
          <w:bCs/>
        </w:rPr>
        <w:t>20 mm</w:t>
      </w:r>
      <w:r w:rsidRPr="00C32EEB">
        <w:t xml:space="preserve"> respecto al microcontrolador (ESP32-WROOM-32D).</w:t>
      </w:r>
    </w:p>
    <w:p w14:paraId="7EAD0E21" w14:textId="77777777" w:rsidR="00C32EEB" w:rsidRPr="00C32EEB" w:rsidRDefault="00C32EEB" w:rsidP="00C32EEB">
      <w:pPr>
        <w:numPr>
          <w:ilvl w:val="0"/>
          <w:numId w:val="4"/>
        </w:numPr>
      </w:pPr>
      <w:r w:rsidRPr="00C32EEB">
        <w:rPr>
          <w:b/>
          <w:bCs/>
        </w:rPr>
        <w:t>Red de Desacoplo Concéntrica:</w:t>
      </w:r>
      <w:r w:rsidRPr="00C32EEB">
        <w:t xml:space="preserve"> Se implementó un filtro de doble polo compuesto por un capacitor de </w:t>
      </w:r>
      <w:r w:rsidRPr="00C32EEB">
        <w:rPr>
          <w:b/>
          <w:bCs/>
        </w:rPr>
        <w:t>10 µF</w:t>
      </w:r>
      <w:r w:rsidRPr="00C32EEB">
        <w:t xml:space="preserve"> (baja frecuencia/sostén de carga) y uno de </w:t>
      </w:r>
      <w:r w:rsidRPr="00C32EEB">
        <w:rPr>
          <w:b/>
          <w:bCs/>
        </w:rPr>
        <w:t xml:space="preserve">0.1 µF / 100 </w:t>
      </w:r>
      <w:proofErr w:type="spellStart"/>
      <w:r w:rsidRPr="00C32EEB">
        <w:rPr>
          <w:b/>
          <w:bCs/>
        </w:rPr>
        <w:t>nF</w:t>
      </w:r>
      <w:proofErr w:type="spellEnd"/>
      <w:r w:rsidRPr="00C32EEB">
        <w:t xml:space="preserve"> (alta frecuencia/atenuación de picos de conmutación de 150 kHz), posicionados en un estado de "fusión geométrica" (distancia mínima) a los pines VDD/GND del chip receptor. Esto neutraliza la reactancia inductiva de las pistas viajeras de 20 </w:t>
      </w:r>
      <w:proofErr w:type="spellStart"/>
      <w:r w:rsidRPr="00C32EEB">
        <w:t>mm.</w:t>
      </w:r>
      <w:proofErr w:type="spellEnd"/>
    </w:p>
    <w:p w14:paraId="588471A3" w14:textId="77777777" w:rsidR="00C32EEB" w:rsidRPr="00C32EEB" w:rsidRDefault="00C32EEB" w:rsidP="00C32EEB"/>
    <w:p w14:paraId="4A6BA5E7" w14:textId="77777777" w:rsidR="00C32EEB" w:rsidRPr="00C32EEB" w:rsidRDefault="00C32EEB" w:rsidP="00C32EEB">
      <w:pPr>
        <w:rPr>
          <w:b/>
          <w:bCs/>
        </w:rPr>
      </w:pPr>
      <w:r w:rsidRPr="00C32EEB">
        <w:rPr>
          <w:b/>
          <w:bCs/>
        </w:rPr>
        <w:t>Blindaje contra Interferencia Electromagnética (EMI)</w:t>
      </w:r>
    </w:p>
    <w:p w14:paraId="1EC85F3E" w14:textId="77777777" w:rsidR="00C32EEB" w:rsidRPr="00C32EEB" w:rsidRDefault="00C32EEB" w:rsidP="00C32EEB">
      <w:pPr>
        <w:numPr>
          <w:ilvl w:val="0"/>
          <w:numId w:val="5"/>
        </w:numPr>
      </w:pPr>
      <w:proofErr w:type="spellStart"/>
      <w:r w:rsidRPr="00C32EEB">
        <w:rPr>
          <w:b/>
          <w:bCs/>
        </w:rPr>
        <w:t>Via</w:t>
      </w:r>
      <w:proofErr w:type="spellEnd"/>
      <w:r w:rsidRPr="00C32EEB">
        <w:rPr>
          <w:b/>
          <w:bCs/>
        </w:rPr>
        <w:t xml:space="preserve"> </w:t>
      </w:r>
      <w:proofErr w:type="spellStart"/>
      <w:r w:rsidRPr="00C32EEB">
        <w:rPr>
          <w:b/>
          <w:bCs/>
        </w:rPr>
        <w:t>Shielding</w:t>
      </w:r>
      <w:proofErr w:type="spellEnd"/>
      <w:r w:rsidRPr="00C32EEB">
        <w:rPr>
          <w:b/>
          <w:bCs/>
        </w:rPr>
        <w:t xml:space="preserve"> (Apantallamiento por Vías):</w:t>
      </w:r>
      <w:r w:rsidRPr="00C32EEB">
        <w:t xml:space="preserve"> Las pistas de datos sensibles están flanqueadas por líneas de vías conectadas sólidamente al plano de potencial cero (GND). Esto crea una barrera de blindaje físico (Jaula de Faraday bidimensional) que absorbe la diafonía (</w:t>
      </w:r>
      <w:proofErr w:type="spellStart"/>
      <w:r w:rsidRPr="00C32EEB">
        <w:rPr>
          <w:i/>
          <w:iCs/>
        </w:rPr>
        <w:t>crosstalk</w:t>
      </w:r>
      <w:proofErr w:type="spellEnd"/>
      <w:r w:rsidRPr="00C32EEB">
        <w:t>) radiada por la actividad conmutada del circuito de potencia cercano.</w:t>
      </w:r>
    </w:p>
    <w:p w14:paraId="5C169D23" w14:textId="77777777" w:rsidR="00C32EEB" w:rsidRDefault="00C32EEB" w:rsidP="005E058C"/>
    <w:p w14:paraId="5A008E11" w14:textId="04AEE7DD" w:rsidR="00C32EEB" w:rsidRDefault="00C32EEB" w:rsidP="005E058C">
      <w:r w:rsidRPr="00C32EEB">
        <w:rPr>
          <w:b/>
          <w:bCs/>
        </w:rPr>
        <w:t>Mitigación por Software:</w:t>
      </w:r>
      <w:r w:rsidRPr="00C32EEB">
        <w:t xml:space="preserve"> El compromiso de diseño de mantener deshabilitadas las etapas de RF (</w:t>
      </w:r>
      <w:proofErr w:type="spellStart"/>
      <w:r w:rsidRPr="00C32EEB">
        <w:t>Wi</w:t>
      </w:r>
      <w:proofErr w:type="spellEnd"/>
      <w:r w:rsidRPr="00C32EEB">
        <w:t>-Fi/Bluetooth de la antena del ESP32) elimina el riesgo de intermodulación aérea o susceptibilidad electromagnética en la banda de 2.4 GHz.</w:t>
      </w:r>
    </w:p>
    <w:p w14:paraId="3800BC93" w14:textId="77777777" w:rsidR="008C0098" w:rsidRDefault="008C0098" w:rsidP="005E058C"/>
    <w:p w14:paraId="476D8557" w14:textId="77777777" w:rsidR="008C0098" w:rsidRPr="008C0098" w:rsidRDefault="008C0098" w:rsidP="008C0098">
      <w:pPr>
        <w:rPr>
          <w:b/>
          <w:bCs/>
        </w:rPr>
      </w:pPr>
      <w:r w:rsidRPr="008C0098">
        <w:rPr>
          <w:b/>
          <w:bCs/>
        </w:rPr>
        <w:t>COMPATIBILIDAD CON MANUFACTURA COMERCIAL (DFM)</w:t>
      </w:r>
    </w:p>
    <w:p w14:paraId="4FA12921" w14:textId="77777777" w:rsidR="008C0098" w:rsidRPr="008C0098" w:rsidRDefault="008C0098" w:rsidP="008C0098">
      <w:r w:rsidRPr="008C0098">
        <w:t xml:space="preserve">El diseño ha sido verificado visual y geométricamente frente a las capacidades técnicas de los </w:t>
      </w:r>
      <w:r w:rsidRPr="008C0098">
        <w:rPr>
          <w:i/>
          <w:iCs/>
        </w:rPr>
        <w:t>pools</w:t>
      </w:r>
      <w:r w:rsidRPr="008C0098">
        <w:t xml:space="preserve"> de fabricación estándar de la industria (clase de precisión general):</w:t>
      </w:r>
    </w:p>
    <w:p w14:paraId="74B3BE9C" w14:textId="77777777" w:rsidR="008C0098" w:rsidRPr="008C0098" w:rsidRDefault="008C0098" w:rsidP="008C0098">
      <w:pPr>
        <w:numPr>
          <w:ilvl w:val="0"/>
          <w:numId w:val="6"/>
        </w:numPr>
      </w:pPr>
      <w:r w:rsidRPr="008C0098">
        <w:rPr>
          <w:b/>
          <w:bCs/>
        </w:rPr>
        <w:t>Ancho y Espaciado de Conductores:</w:t>
      </w:r>
      <w:r w:rsidRPr="008C0098">
        <w:t xml:space="preserve"> Al mantenerse por encima de las 6 </w:t>
      </w:r>
      <w:proofErr w:type="spellStart"/>
      <w:r w:rsidRPr="008C0098">
        <w:t>mils</w:t>
      </w:r>
      <w:proofErr w:type="spellEnd"/>
      <w:r w:rsidRPr="008C0098">
        <w:t xml:space="preserve"> (0.152 mm), la placa califica para procesos de fabricación estándar de bajo costo, garantizando una tasa de rendimiento (</w:t>
      </w:r>
      <w:proofErr w:type="spellStart"/>
      <w:r w:rsidRPr="008C0098">
        <w:rPr>
          <w:i/>
          <w:iCs/>
        </w:rPr>
        <w:t>yield</w:t>
      </w:r>
      <w:proofErr w:type="spellEnd"/>
      <w:r w:rsidRPr="008C0098">
        <w:t>) cercana al 100%.</w:t>
      </w:r>
    </w:p>
    <w:p w14:paraId="6A23053B" w14:textId="77777777" w:rsidR="008C0098" w:rsidRPr="00A62F1B" w:rsidRDefault="008C0098" w:rsidP="005E058C"/>
    <w:sectPr w:rsidR="008C0098" w:rsidRPr="00A62F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914"/>
    <w:multiLevelType w:val="multilevel"/>
    <w:tmpl w:val="573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540A6"/>
    <w:multiLevelType w:val="multilevel"/>
    <w:tmpl w:val="A4C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B4ABC"/>
    <w:multiLevelType w:val="multilevel"/>
    <w:tmpl w:val="8BE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D5EA8"/>
    <w:multiLevelType w:val="multilevel"/>
    <w:tmpl w:val="545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21A1D"/>
    <w:multiLevelType w:val="multilevel"/>
    <w:tmpl w:val="F66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D440F"/>
    <w:multiLevelType w:val="multilevel"/>
    <w:tmpl w:val="529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56801"/>
    <w:multiLevelType w:val="multilevel"/>
    <w:tmpl w:val="A000BE3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00300"/>
    <w:multiLevelType w:val="multilevel"/>
    <w:tmpl w:val="9C7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E66F3"/>
    <w:multiLevelType w:val="multilevel"/>
    <w:tmpl w:val="885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A3E23"/>
    <w:multiLevelType w:val="multilevel"/>
    <w:tmpl w:val="008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D2BAC"/>
    <w:multiLevelType w:val="multilevel"/>
    <w:tmpl w:val="25D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F3F33"/>
    <w:multiLevelType w:val="multilevel"/>
    <w:tmpl w:val="792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737667">
    <w:abstractNumId w:val="3"/>
  </w:num>
  <w:num w:numId="2" w16cid:durableId="1330789840">
    <w:abstractNumId w:val="7"/>
  </w:num>
  <w:num w:numId="3" w16cid:durableId="1852377276">
    <w:abstractNumId w:val="8"/>
  </w:num>
  <w:num w:numId="4" w16cid:durableId="1102995038">
    <w:abstractNumId w:val="1"/>
  </w:num>
  <w:num w:numId="5" w16cid:durableId="1351183796">
    <w:abstractNumId w:val="0"/>
  </w:num>
  <w:num w:numId="6" w16cid:durableId="596868226">
    <w:abstractNumId w:val="11"/>
  </w:num>
  <w:num w:numId="7" w16cid:durableId="955524185">
    <w:abstractNumId w:val="10"/>
  </w:num>
  <w:num w:numId="8" w16cid:durableId="199632861">
    <w:abstractNumId w:val="6"/>
  </w:num>
  <w:num w:numId="9" w16cid:durableId="1342321906">
    <w:abstractNumId w:val="4"/>
  </w:num>
  <w:num w:numId="10" w16cid:durableId="1953438003">
    <w:abstractNumId w:val="5"/>
  </w:num>
  <w:num w:numId="11" w16cid:durableId="959527285">
    <w:abstractNumId w:val="9"/>
  </w:num>
  <w:num w:numId="12" w16cid:durableId="1873297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1B"/>
    <w:rsid w:val="00013149"/>
    <w:rsid w:val="000A483F"/>
    <w:rsid w:val="0013388E"/>
    <w:rsid w:val="001E282D"/>
    <w:rsid w:val="00415A75"/>
    <w:rsid w:val="005B72ED"/>
    <w:rsid w:val="005E058C"/>
    <w:rsid w:val="00640C1C"/>
    <w:rsid w:val="00700C5E"/>
    <w:rsid w:val="008359B4"/>
    <w:rsid w:val="008C0098"/>
    <w:rsid w:val="008E1E00"/>
    <w:rsid w:val="008F729B"/>
    <w:rsid w:val="00A62F1B"/>
    <w:rsid w:val="00B23CC5"/>
    <w:rsid w:val="00C32EEB"/>
    <w:rsid w:val="00C464C9"/>
    <w:rsid w:val="00D03F82"/>
    <w:rsid w:val="00E143C8"/>
    <w:rsid w:val="00E36D2C"/>
    <w:rsid w:val="00E44AE9"/>
    <w:rsid w:val="00F07C5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D179"/>
  <w15:chartTrackingRefBased/>
  <w15:docId w15:val="{FB6C0877-B49B-45C5-B6A8-70B6E13F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C9"/>
  </w:style>
  <w:style w:type="paragraph" w:styleId="Ttulo1">
    <w:name w:val="heading 1"/>
    <w:basedOn w:val="Normal"/>
    <w:next w:val="Normal"/>
    <w:link w:val="Ttulo1Car"/>
    <w:uiPriority w:val="9"/>
    <w:qFormat/>
    <w:rsid w:val="00A62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2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2F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2F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2F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2F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2F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2F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2F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F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F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2F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F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F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F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F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F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F1B"/>
    <w:rPr>
      <w:rFonts w:eastAsiaTheme="majorEastAsia" w:cstheme="majorBidi"/>
      <w:color w:val="272727" w:themeColor="text1" w:themeTint="D8"/>
    </w:rPr>
  </w:style>
  <w:style w:type="paragraph" w:styleId="Ttulo">
    <w:name w:val="Title"/>
    <w:basedOn w:val="Normal"/>
    <w:next w:val="Normal"/>
    <w:link w:val="TtuloCar"/>
    <w:uiPriority w:val="10"/>
    <w:qFormat/>
    <w:rsid w:val="00A6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2F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F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2F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F1B"/>
    <w:pPr>
      <w:spacing w:before="160"/>
      <w:jc w:val="center"/>
    </w:pPr>
    <w:rPr>
      <w:i/>
      <w:iCs/>
      <w:color w:val="404040" w:themeColor="text1" w:themeTint="BF"/>
    </w:rPr>
  </w:style>
  <w:style w:type="character" w:customStyle="1" w:styleId="CitaCar">
    <w:name w:val="Cita Car"/>
    <w:basedOn w:val="Fuentedeprrafopredeter"/>
    <w:link w:val="Cita"/>
    <w:uiPriority w:val="29"/>
    <w:rsid w:val="00A62F1B"/>
    <w:rPr>
      <w:i/>
      <w:iCs/>
      <w:color w:val="404040" w:themeColor="text1" w:themeTint="BF"/>
    </w:rPr>
  </w:style>
  <w:style w:type="paragraph" w:styleId="Prrafodelista">
    <w:name w:val="List Paragraph"/>
    <w:basedOn w:val="Normal"/>
    <w:uiPriority w:val="34"/>
    <w:qFormat/>
    <w:rsid w:val="00A62F1B"/>
    <w:pPr>
      <w:ind w:left="720"/>
      <w:contextualSpacing/>
    </w:pPr>
  </w:style>
  <w:style w:type="character" w:styleId="nfasisintenso">
    <w:name w:val="Intense Emphasis"/>
    <w:basedOn w:val="Fuentedeprrafopredeter"/>
    <w:uiPriority w:val="21"/>
    <w:qFormat/>
    <w:rsid w:val="00A62F1B"/>
    <w:rPr>
      <w:i/>
      <w:iCs/>
      <w:color w:val="0F4761" w:themeColor="accent1" w:themeShade="BF"/>
    </w:rPr>
  </w:style>
  <w:style w:type="paragraph" w:styleId="Citadestacada">
    <w:name w:val="Intense Quote"/>
    <w:basedOn w:val="Normal"/>
    <w:next w:val="Normal"/>
    <w:link w:val="CitadestacadaCar"/>
    <w:uiPriority w:val="30"/>
    <w:qFormat/>
    <w:rsid w:val="00A6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2F1B"/>
    <w:rPr>
      <w:i/>
      <w:iCs/>
      <w:color w:val="0F4761" w:themeColor="accent1" w:themeShade="BF"/>
    </w:rPr>
  </w:style>
  <w:style w:type="character" w:styleId="Referenciaintensa">
    <w:name w:val="Intense Reference"/>
    <w:basedOn w:val="Fuentedeprrafopredeter"/>
    <w:uiPriority w:val="32"/>
    <w:qFormat/>
    <w:rsid w:val="00A62F1B"/>
    <w:rPr>
      <w:b/>
      <w:bCs/>
      <w:smallCaps/>
      <w:color w:val="0F4761" w:themeColor="accent1" w:themeShade="BF"/>
      <w:spacing w:val="5"/>
    </w:rPr>
  </w:style>
  <w:style w:type="paragraph" w:styleId="NormalWeb">
    <w:name w:val="Normal (Web)"/>
    <w:basedOn w:val="Normal"/>
    <w:uiPriority w:val="99"/>
    <w:semiHidden/>
    <w:unhideWhenUsed/>
    <w:rsid w:val="00E143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12</Pages>
  <Words>4261</Words>
  <Characters>23441</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Martinez</dc:creator>
  <cp:keywords/>
  <dc:description/>
  <cp:lastModifiedBy>paulmartinez123 martinez</cp:lastModifiedBy>
  <cp:revision>3</cp:revision>
  <dcterms:created xsi:type="dcterms:W3CDTF">2026-07-19T16:03:00Z</dcterms:created>
  <dcterms:modified xsi:type="dcterms:W3CDTF">2026-07-19T20:22:00Z</dcterms:modified>
</cp:coreProperties>
</file>