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bookmarkStart w:id="0" w:name="_GoBack"/>
      <w:bookmarkEnd w:id="0"/>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r w:rsidRPr="00A23156">
        <w:rPr>
          <w:sz w:val="26"/>
          <w:szCs w:val="26"/>
        </w:rPr>
        <w:t>B</w:t>
      </w:r>
      <w:r w:rsidR="00E100D2" w:rsidRPr="00A23156">
        <w:rPr>
          <w:sz w:val="26"/>
          <w:szCs w:val="26"/>
        </w:rPr>
        <w:t xml:space="preserve">urnup,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Default="00882D8C" w:rsidP="0075328B">
      <w:pPr>
        <w:suppressLineNumbers/>
        <w:spacing w:line="240" w:lineRule="auto"/>
        <w:jc w:val="center"/>
        <w:rPr>
          <w:sz w:val="18"/>
          <w:szCs w:val="18"/>
        </w:rPr>
      </w:pPr>
      <w:proofErr w:type="spellStart"/>
      <w:r w:rsidRPr="00C82CE3">
        <w:rPr>
          <w:sz w:val="18"/>
          <w:szCs w:val="18"/>
          <w:vertAlign w:val="superscript"/>
        </w:rPr>
        <w:t>a</w:t>
      </w:r>
      <w:r w:rsidRPr="00C82CE3">
        <w:rPr>
          <w:sz w:val="18"/>
          <w:szCs w:val="18"/>
        </w:rPr>
        <w:t>Nuclear</w:t>
      </w:r>
      <w:proofErr w:type="spellEnd"/>
      <w:r w:rsidRPr="00C82CE3">
        <w:rPr>
          <w:sz w:val="18"/>
          <w:szCs w:val="18"/>
        </w:rPr>
        <w:t xml:space="preserve"> Security Science &amp;</w:t>
      </w:r>
      <w:r w:rsidR="00E059F0" w:rsidRPr="00C82CE3">
        <w:rPr>
          <w:sz w:val="18"/>
          <w:szCs w:val="18"/>
        </w:rPr>
        <w:t xml:space="preserve"> Policy Institute (NSSPI)</w:t>
      </w:r>
      <w:r w:rsidR="00082E67">
        <w:rPr>
          <w:sz w:val="18"/>
          <w:szCs w:val="18"/>
        </w:rPr>
        <w:t xml:space="preserve">, </w:t>
      </w:r>
      <w:proofErr w:type="spellStart"/>
      <w:r w:rsidRPr="00C82CE3">
        <w:rPr>
          <w:sz w:val="18"/>
          <w:szCs w:val="18"/>
          <w:vertAlign w:val="superscript"/>
        </w:rPr>
        <w:t>b</w:t>
      </w:r>
      <w:r w:rsidRPr="00C82CE3">
        <w:rPr>
          <w:sz w:val="18"/>
          <w:szCs w:val="18"/>
        </w:rPr>
        <w:t>Department</w:t>
      </w:r>
      <w:proofErr w:type="spellEnd"/>
      <w:r w:rsidRPr="00C82CE3">
        <w:rPr>
          <w:sz w:val="18"/>
          <w:szCs w:val="18"/>
        </w:rPr>
        <w:t xml:space="preserve"> of Nuclear Engineering</w:t>
      </w:r>
      <w:r w:rsidR="0014503A">
        <w:rPr>
          <w:sz w:val="18"/>
          <w:szCs w:val="18"/>
        </w:rPr>
        <w:t xml:space="preserve">, </w:t>
      </w:r>
      <w:proofErr w:type="spellStart"/>
      <w:r w:rsidRPr="00C82CE3">
        <w:rPr>
          <w:sz w:val="18"/>
          <w:szCs w:val="18"/>
          <w:vertAlign w:val="superscript"/>
        </w:rPr>
        <w:t>c</w:t>
      </w:r>
      <w:r w:rsidRPr="00C82CE3">
        <w:rPr>
          <w:sz w:val="18"/>
          <w:szCs w:val="18"/>
        </w:rPr>
        <w:t>Cyclotron</w:t>
      </w:r>
      <w:proofErr w:type="spellEnd"/>
      <w:r w:rsidRPr="00C82CE3">
        <w:rPr>
          <w:sz w:val="18"/>
          <w:szCs w:val="18"/>
        </w:rPr>
        <w:t xml:space="preserve"> Institute</w:t>
      </w:r>
      <w:r w:rsidR="0014503A">
        <w:rPr>
          <w:sz w:val="18"/>
          <w:szCs w:val="18"/>
        </w:rPr>
        <w:t>,</w:t>
      </w:r>
      <w:r w:rsidR="0014503A" w:rsidRPr="0014503A">
        <w:t xml:space="preserve"> </w:t>
      </w:r>
      <w:r w:rsidR="0014503A" w:rsidRPr="0014503A">
        <w:rPr>
          <w:sz w:val="18"/>
          <w:szCs w:val="18"/>
        </w:rPr>
        <w:t xml:space="preserve">Texas A&amp;M University, </w:t>
      </w:r>
      <w:r w:rsidR="00082E67">
        <w:rPr>
          <w:sz w:val="18"/>
          <w:szCs w:val="18"/>
        </w:rPr>
        <w:t>College Station, TX-</w:t>
      </w:r>
      <w:r w:rsidR="008E4A2F">
        <w:rPr>
          <w:sz w:val="18"/>
          <w:szCs w:val="18"/>
        </w:rPr>
        <w:t>77843</w:t>
      </w:r>
      <w:r w:rsidR="00082E67">
        <w:rPr>
          <w:sz w:val="18"/>
          <w:szCs w:val="18"/>
        </w:rPr>
        <w:t>,USA</w:t>
      </w:r>
    </w:p>
    <w:p w:rsidR="00220030" w:rsidRDefault="00220030" w:rsidP="0075328B">
      <w:pPr>
        <w:suppressLineNumbers/>
        <w:spacing w:line="240" w:lineRule="auto"/>
        <w:jc w:val="center"/>
        <w:rPr>
          <w:sz w:val="18"/>
          <w:szCs w:val="18"/>
        </w:rPr>
      </w:pP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 xml:space="preserve">irradiated to a low-burnup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w:t>
      </w:r>
      <w:r w:rsidR="000D6F09">
        <w:rPr>
          <w:sz w:val="21"/>
          <w:szCs w:val="21"/>
        </w:rPr>
        <w:t xml:space="preserve"> (TBP)</w:t>
      </w:r>
      <w:r w:rsidR="003B1EA3" w:rsidRPr="00A23156">
        <w:rPr>
          <w:sz w:val="21"/>
          <w:szCs w:val="21"/>
        </w:rPr>
        <w:t xml:space="preserve"> 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benchtop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w:t>
      </w:r>
      <w:r w:rsidR="003B1898">
        <w:rPr>
          <w:sz w:val="21"/>
          <w:szCs w:val="21"/>
        </w:rPr>
        <w:lastRenderedPageBreak/>
        <w:t xml:space="preserve">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 </w:instrText>
      </w:r>
      <w:r w:rsidR="00D91EC5">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EN.CITE.DATA </w:instrText>
      </w:r>
      <w:r w:rsidR="00D91EC5">
        <w:rPr>
          <w:sz w:val="21"/>
          <w:szCs w:val="21"/>
        </w:rPr>
      </w:r>
      <w:r w:rsidR="00D91EC5">
        <w:rPr>
          <w:sz w:val="21"/>
          <w:szCs w:val="21"/>
        </w:rPr>
        <w:fldChar w:fldCharType="end"/>
      </w:r>
      <w:r w:rsidR="003B1898">
        <w:rPr>
          <w:sz w:val="21"/>
          <w:szCs w:val="21"/>
        </w:rPr>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A compilation of distribution data for PUREX extraction processes provide</w:t>
      </w:r>
      <w:r w:rsidR="00DA2D8F">
        <w:rPr>
          <w:sz w:val="21"/>
          <w:szCs w:val="21"/>
        </w:rPr>
        <w:t>s</w:t>
      </w:r>
      <w:r w:rsidR="00564208">
        <w:rPr>
          <w:sz w:val="21"/>
          <w:szCs w:val="21"/>
        </w:rPr>
        <w:t xml:space="preserv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 </w:instrText>
      </w:r>
      <w:r w:rsidR="0026279B">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aGVyPk5ldyBZb3JrIDogTWNHcmF3LUhpbGw8L3B1Ymxpc2hlcj48d29yay10eXBlPkJvb2s8L3dv
cmstdHlwZT48dXJscz48cmVsYXRlZC11cmxzPjx1cmw+aHR0cDovL2xpYi1lenByb3h5LnRhbXUu
ZWR1OjIwNDgvbG9naW4/dXJsPWh0dHA6Ly9zZWFyY2guZWJzY29ob3N0LmNvbS9sb2dpbi5hc3B4
P2RpcmVjdD10cnVlJmFtcDtkYj1jYXQwMzMxOGEmYW1wO0FOPXRhbXVnLjEwNzQ1OCZhbXA7c2l0
ZT1lZHMtbGl2ZTwvdXJsPjwvcmVsYXRlZC11cmxzPjwvdXJscz48cmVtb3RlLWRhdGFiYXNlLW5h
bWU+Y2F0MDMzMThhPC9yZW1vdGUtZGF0YWJhc2UtbmFtZT48cmVtb3RlLWRhdGFiYXNlLXByb3Zp
ZGVyPkVCU0NPaG9zdDwvcmVtb3RlLWRhdGFiYXNlLXByb3ZpZGVyPjwvcmVjb3JkPjwvQ2l0ZT48
Q2l0ZT48QXV0aG9yPkxvbmc8L0F1dGhvcj48WWVhcj4xOTY3PC9ZZWFyPjxSZWNOdW0+MTkwPC9S
ZWNOdW0+PHJlY29yZD48cmVjLW51bWJlcj4xOTA8L3JlYy1udW1iZXI+PGZvcmVpZ24ta2V5cz48
a2V5IGFwcD0iRU4iIGRiLWlkPSJyOWFlc2Zyc3AycHR2bGVhNTlpdjA5OW0yMHh2MjJhdnN2dnYi
IHRpbWVzdGFtcD0iMTQ1Njc3MDc0MCI+MTkwPC9rZXk+PC9mb3JlaWduLWtleXM+PHJlZi10eXBl
IG5hbWU9IkJvb2siPjY8L3JlZi10eXBlPjxjb250cmlidXRvcnM+PGF1dGhvcnM+PGF1dGhvcj5M
b25nLCBKdXN0aW4gVC48L2F1dGhvcj48L2F1dGhvcnM+PC9jb250cmlidXRvcnM+PHRpdGxlcz48
dGl0bGU+RW5naW5lZXJpbmcgZm9yIG51Y2xlYXIgZnVlbCByZXByb2Nlc3Npbmc8L3RpdGxlPjwv
dGl0bGVzPjxzZWN0aW9uPjE2Mi0yNzI8L3NlY3Rpb24+PGtleXdvcmRzPjxrZXl3b3JkPk51Y2xl
YXIgZnVlbHM8L2tleXdvcmQ+PC9rZXl3b3Jkcz48ZGF0ZXM+PHllYXI+MTk2NzwveWVhcj48L2Rh
dGVzPjxwdWJsaXNoZXI+TmV3IFlvcmsgOiBHb3Jkb24gYW5kIEJyZWFjaCBTY2llbmNlIFB1Ymxp
c2hlcnM8L3B1Ymxpc2hlcj48d29yay10eXBlPkJpYmxpb2dyYXBoaWVzJiN4RDtOb24tZmljdGlv
bjwvd29yay10eXBlPjx1cmxzPjxyZWxhdGVkLXVybHM+PHVybD5odHRwOi8vbGliLWV6cHJveHku
dGFtdS5lZHU6MjA0OC9sb2dpbj91cmw9aHR0cDovL3NlYXJjaC5lYnNjb2hvc3QuY29tL2xvZ2lu
LmFzcHg/ZGlyZWN0PXRydWUmYW1wO2RiPWNhdDAzMzE4YSZhbXA7QU49dGFtdWcuNzExNTUxJmFt
cDtzaXRlPWVkcy1saXZlPC91cmw+PC9yZWxhdGVkLXVybHM+PC91cmxzPjxyZW1vdGUtZGF0YWJh
c2UtbmFtZT5jYXQwMzMxOGE8L3JlbW90ZS1kYXRhYmFzZS1uYW1lPjxyZW1vdGUtZGF0YWJhc2Ut
cHJvdmlkZXI+RUJTQ09ob3N0PC9yZW1vdGUtZGF0YWJhc2UtcHJvdmlkZXI+PC9yZWNvcmQ+PC9D
aXRlPjxDaXRlPjxBdXRob3I+UGVycnk8L0F1dGhvcj48WWVhcj4yMDA4PC9ZZWFyPjxSZWNOdW0+
MTcxPC9SZWNOdW0+PHJlY29yZD48cmVjLW51bWJlcj4xNzE8L3JlYy1udW1iZXI+PGZvcmVpZ24t
a2V5cz48a2V5IGFwcD0iRU4iIGRiLWlkPSJyOWFlc2Zyc3AycHR2bGVhNTlpdjA5OW0yMHh2MjJh
dnN2dnYiIHRpbWVzdGFtcD0iMTQ1NTY3NzUzNSI+MTcxPC9rZXk+PC9mb3JlaWduLWtleXM+PHJl
Zi10eXBlIG5hbWU9IkJvb2siPjY8L3JlZi10eXBlPjxjb250cmlidXRvcnM+PGF1dGhvcnM+PGF1
dGhvcj5QZXJyeSwgUm9iZXJ0IEguPC9hdXRob3I+PGF1dGhvcj5HcmVlbiwgRG9uIFcuPC9hdXRo
b3I+PC9hdXRob3JzPjwvY29udHJpYnV0b3JzPjx0aXRsZXM+PHRpdGxlPlBlcnJ5JmFwb3M7cyBj
aGVtaWNhbCBlbmdpbmVlcnMmYXBvczsgaGFuZGJvb2s8L3RpdGxlPjwvdGl0bGVzPjxlZGl0aW9u
Pjh0aDwvZWRpdGlvbj48a2V5d29yZHM+PGtleXdvcmQ+Q2hlbWljYWwgZW5naW5lZXJpbmcgLS0g
SGFuZGJvb2tzLCBtYW51YWxzLCBldGM8L2tleXdvcmQ+PGtleXdvcmQ+RWxlY3Ryb25pYyBib29r
czwva2V5d29yZD48L2tleXdvcmRzPjxkYXRlcz48eWVhcj4yMDA4PC95ZWFyPjwvZGF0ZXM+PHB1
Yi1sb2NhdGlvbj5OZXcgWW9yazwvcHViLWxvY2F0aW9uPjxwdWJsaXNoZXI+TWNHcmF3LUhpbGw8
L3B1Ymxpc2hlcj48d29yay10eXBlPkJpYmxpb2dyYXBoaWVzJiN4RDtIYW5kYm9va3MmI3hEO05v
bi1maWN0aW9uJiN4RDtFbGVjdHJvbmljIGRvY3VtZW50PC93b3JrLXR5cGU+PHVybHM+PHJlbGF0
ZWQtdXJscz48dXJsPmh0dHA6Ly9saWItZXpwcm94eS50YW11LmVkdToyMDQ4L2xvZ2luP3VybD1o
dHRwOi8vc2VhcmNoLmVic2NvaG9zdC5jb20vbG9naW4uYXNweD9kaXJlY3Q9dHJ1ZSZhbXA7ZGI9
Y2F0MDMzMThhJmFtcDtBTj10YW11Zy4zNzU2MDUyJmFtcDtzaXRlPWVkcy1saXZlPC91cmw+PHVy
bD5odHRwOi8vbGliLWV6cHJveHkudGFtdS5lZHU6MjA0OC9sb2dpbj91cmw9aHR0cDovL3NpdGUu
ZWJyYXJ5LmNvbS9saWIvdGFtdS9kb2NEZXRhaWwuYWN0aW9uP2RvY0lEPTEwMjExNzI1PC91cmw+
PC9yZWxhdGVkLXVybHM+PC91cmxzPjxyZW1vdGUtZGF0YWJhc2UtbmFtZT5jYXQwMzMxOGE8L3Jl
bW90ZS1kYXRhYmFzZS1uYW1lPjxyZW1vdGUtZGF0YWJhc2UtcHJvdmlkZXI+RUJTQ09ob3N0PC9y
ZW1vdGUtZGF0YWJhc2UtcHJvdmlkZXI+PC9yZWNvcmQ+PC9DaXRlPjwvRW5kTm90ZT5=
</w:fldData>
        </w:fldChar>
      </w:r>
      <w:r w:rsidR="0026279B">
        <w:rPr>
          <w:sz w:val="21"/>
          <w:szCs w:val="21"/>
        </w:rPr>
        <w:instrText xml:space="preserve"> ADDIN EN.CITE.DATA </w:instrText>
      </w:r>
      <w:r w:rsidR="0026279B">
        <w:rPr>
          <w:sz w:val="21"/>
          <w:szCs w:val="21"/>
        </w:rPr>
      </w:r>
      <w:r w:rsidR="0026279B">
        <w:rPr>
          <w:sz w:val="21"/>
          <w:szCs w:val="21"/>
        </w:rPr>
        <w:fldChar w:fldCharType="end"/>
      </w:r>
      <w:r>
        <w:rPr>
          <w:sz w:val="21"/>
          <w:szCs w:val="21"/>
        </w:rPr>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26279B">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DC and DF, but experimental PUREX DFs for a large number of individual elements were not provided. </w:t>
      </w:r>
    </w:p>
    <w:p w:rsidR="00566E8A" w:rsidRDefault="00566E8A" w:rsidP="00743FD0">
      <w:pPr>
        <w:rPr>
          <w:sz w:val="21"/>
          <w:szCs w:val="21"/>
        </w:rPr>
      </w:pPr>
      <w:r>
        <w:rPr>
          <w:sz w:val="21"/>
          <w:szCs w:val="21"/>
        </w:rPr>
        <w:lastRenderedPageBreak/>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w:t>
      </w:r>
      <w:r w:rsidR="00266B2B">
        <w:rPr>
          <w:sz w:val="21"/>
          <w:szCs w:val="21"/>
        </w:rPr>
        <w:t xml:space="preserve"> </w:t>
      </w:r>
      <w:r w:rsidR="00D65BBB">
        <w:rPr>
          <w:sz w:val="21"/>
          <w:szCs w:val="21"/>
        </w:rPr>
        <w:fldChar w:fldCharType="begin"/>
      </w:r>
      <w:r w:rsidR="00E3786E">
        <w:rPr>
          <w:sz w:val="21"/>
          <w:szCs w:val="21"/>
        </w:rPr>
        <w:instrText xml:space="preserve"> ADDIN EN.CITE &lt;EndNote&gt;&lt;Cite&gt;&lt;Author&gt;Swinney&lt;/Author&gt;&lt;Year&gt;2014&lt;/Year&gt;&lt;RecNum&gt;210&lt;/RecNum&gt;&lt;DisplayText&gt;(Swinney 2014)&lt;/DisplayText&gt;&lt;record&gt;&lt;rec-number&gt;210&lt;/rec-number&gt;&lt;foreign-keys&gt;&lt;key app="EN" db-id="r9aesfrsp2ptvlea59iv099m20xv22avsvvv" timestamp="1462203904"&gt;210&lt;/key&gt;&lt;/foreign-keys&gt;&lt;ref-type name="Journal Article"&gt;17&lt;/ref-type&gt;&lt;contributors&gt;&lt;authors&gt;&lt;author&gt;Swinney, M.W.&lt;/author&gt;&lt;author&gt;Chirayath, S.S.&lt;/author&gt;&lt;/authors&gt;&lt;/contributors&gt;&lt;titles&gt;&lt;title&gt;Comparison of FBR and HFIR Monte-Carlo Simulations with Validation from Gamma Spectroscopy in Support of the NFASP Project&lt;/title&gt;&lt;secondary-title&gt;Transactions of American Nuclear Society&lt;/secondary-title&gt;&lt;/titles&gt;&lt;periodical&gt;&lt;full-title&gt;Transactions of American Nuclear Society&lt;/full-title&gt;&lt;/periodical&gt;&lt;pages&gt;999-1001&lt;/pages&gt;&lt;volume&gt;111&lt;/volume&gt;&lt;number&gt;1&lt;/number&gt;&lt;dates&gt;&lt;year&gt;2014&lt;/year&gt;&lt;pub-dates&gt;&lt;date&gt;November 2014&lt;/date&gt;&lt;/pub-dates&gt;&lt;/dates&gt;&lt;urls&gt;&lt;/urls&gt;&lt;/record&gt;&lt;/Cite&gt;&lt;/EndNote&gt;</w:instrText>
      </w:r>
      <w:r w:rsidR="00D65BBB">
        <w:rPr>
          <w:sz w:val="21"/>
          <w:szCs w:val="21"/>
        </w:rPr>
        <w:fldChar w:fldCharType="separate"/>
      </w:r>
      <w:r w:rsidR="00D65BBB">
        <w:rPr>
          <w:noProof/>
          <w:sz w:val="21"/>
          <w:szCs w:val="21"/>
        </w:rPr>
        <w:t>(Swinney 2014)</w:t>
      </w:r>
      <w:r w:rsidR="00D65BBB">
        <w:rPr>
          <w:sz w:val="21"/>
          <w:szCs w:val="21"/>
        </w:rPr>
        <w:fldChar w:fldCharType="end"/>
      </w:r>
      <w:r w:rsidR="00EE6D61">
        <w:rPr>
          <w:sz w:val="21"/>
          <w:szCs w:val="21"/>
        </w:rPr>
        <w:t>.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benchtop</w:t>
      </w:r>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1" w:name="_Ref447543495"/>
      <w:r>
        <w:t xml:space="preserve">Equation </w:t>
      </w:r>
      <w:r w:rsidR="003447BC">
        <w:fldChar w:fldCharType="begin"/>
      </w:r>
      <w:r w:rsidR="003447BC">
        <w:instrText xml:space="preserve"> SEQ Equation \* ARABIC </w:instrText>
      </w:r>
      <w:r w:rsidR="003447BC">
        <w:fldChar w:fldCharType="separate"/>
      </w:r>
      <w:r w:rsidR="009A1680">
        <w:rPr>
          <w:noProof/>
        </w:rPr>
        <w:t>1</w:t>
      </w:r>
      <w:r w:rsidR="003447BC">
        <w:rPr>
          <w:noProof/>
        </w:rPr>
        <w:fldChar w:fldCharType="end"/>
      </w:r>
      <w:bookmarkEnd w:id="1"/>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D91EC5">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For 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xml:space="preserve">, deposited in the organic (TBP) phase for a </w:t>
      </w:r>
      <w:r w:rsidR="003C1935">
        <w:rPr>
          <w:rFonts w:eastAsiaTheme="minorEastAsia"/>
          <w:sz w:val="21"/>
          <w:szCs w:val="21"/>
        </w:rPr>
        <w:lastRenderedPageBreak/>
        <w:t>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2" w:name="_Ref447544184"/>
      <w:r>
        <w:t xml:space="preserve">Equation </w:t>
      </w:r>
      <w:r w:rsidR="003447BC">
        <w:fldChar w:fldCharType="begin"/>
      </w:r>
      <w:r w:rsidR="003447BC">
        <w:instrText xml:space="preserve"> SEQ Equation \* ARABIC </w:instrText>
      </w:r>
      <w:r w:rsidR="003447BC">
        <w:fldChar w:fldCharType="separate"/>
      </w:r>
      <w:r w:rsidR="009A1680">
        <w:rPr>
          <w:noProof/>
        </w:rPr>
        <w:t>2</w:t>
      </w:r>
      <w:r w:rsidR="003447BC">
        <w:rPr>
          <w:noProof/>
        </w:rPr>
        <w:fldChar w:fldCharType="end"/>
      </w:r>
      <w:bookmarkEnd w:id="2"/>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3447BC"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w:t>
      </w:r>
      <w:r w:rsidR="00F02115">
        <w:rPr>
          <w:rFonts w:eastAsiaTheme="minorEastAsia"/>
          <w:sz w:val="21"/>
          <w:szCs w:val="21"/>
        </w:rPr>
        <w:t xml:space="preserve">of </w:t>
      </w:r>
      <w:r w:rsidR="00D37E30">
        <w:rPr>
          <w:rFonts w:eastAsiaTheme="minorEastAsia"/>
          <w:sz w:val="21"/>
          <w:szCs w:val="21"/>
        </w:rPr>
        <w:t>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3" w:name="_Ref447544422"/>
      <w:r>
        <w:lastRenderedPageBreak/>
        <w:t xml:space="preserve">Equation </w:t>
      </w:r>
      <w:r w:rsidR="003447BC">
        <w:fldChar w:fldCharType="begin"/>
      </w:r>
      <w:r w:rsidR="003447BC">
        <w:instrText xml:space="preserve"> SEQ Equation \* ARABIC </w:instrText>
      </w:r>
      <w:r w:rsidR="003447BC">
        <w:fldChar w:fldCharType="separate"/>
      </w:r>
      <w:r w:rsidR="009A1680">
        <w:rPr>
          <w:noProof/>
        </w:rPr>
        <w:t>3</w:t>
      </w:r>
      <w:r w:rsidR="003447BC">
        <w:rPr>
          <w:noProof/>
        </w:rPr>
        <w:fldChar w:fldCharType="end"/>
      </w:r>
      <w:bookmarkEnd w:id="3"/>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t>Initial and final refer to the values before and after purification, respectively. DFs are also characteristic of different process cycles, and may have larger values (&gt; 10</w:t>
      </w:r>
      <w:r>
        <w:rPr>
          <w:rFonts w:eastAsiaTheme="minorEastAsia"/>
          <w:sz w:val="21"/>
          <w:szCs w:val="21"/>
          <w:vertAlign w:val="superscript"/>
        </w:rPr>
        <w:t>7</w:t>
      </w:r>
      <w:r>
        <w:rPr>
          <w:rFonts w:eastAsiaTheme="minorEastAsia"/>
          <w:sz w:val="21"/>
          <w:szCs w:val="21"/>
        </w:rPr>
        <w:t>) for industrial scale PUREX compared to the bencht</w:t>
      </w:r>
      <w:r w:rsidR="008C2D16">
        <w:rPr>
          <w:rFonts w:eastAsiaTheme="minorEastAsia"/>
          <w:sz w:val="21"/>
          <w:szCs w:val="21"/>
        </w:rPr>
        <w:t>op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 </w:instrText>
      </w:r>
      <w:r w:rsidR="00D91EC5">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EN.CITE.DATA </w:instrText>
      </w:r>
      <w:r w:rsidR="00D91EC5">
        <w:rPr>
          <w:rFonts w:eastAsiaTheme="minorEastAsia"/>
          <w:sz w:val="21"/>
          <w:szCs w:val="21"/>
        </w:rPr>
      </w:r>
      <w:r w:rsidR="00D91EC5">
        <w:rPr>
          <w:rFonts w:eastAsiaTheme="minorEastAsia"/>
          <w:sz w:val="21"/>
          <w:szCs w:val="21"/>
        </w:rPr>
        <w:fldChar w:fldCharType="end"/>
      </w:r>
      <w:r w:rsidR="00455020">
        <w:rPr>
          <w:rFonts w:eastAsiaTheme="minorEastAsia"/>
          <w:sz w:val="21"/>
          <w:szCs w:val="21"/>
        </w:rPr>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report either an overall DF value, or a DF value for a single isotope. What is needed for forensics purposes is DFs for individual FP contaminants, which is why elemental DF values were obtained for a benchtop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burnup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2F0F50">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name="Thesis"&gt;32&lt;/ref-type&gt;&lt;contributors&gt;&lt;authors&gt;&lt;author&gt;Swinney, M.W.&lt;/author&gt;&lt;/authors&gt;&lt;/contributors&gt;&lt;titles&gt;&lt;title&gt;Experimental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82B9C">
        <w:rPr>
          <w:rFonts w:eastAsiaTheme="minorEastAsia"/>
          <w:sz w:val="21"/>
          <w:szCs w:val="21"/>
        </w:rPr>
        <w:t>0.24</w:t>
      </w:r>
      <w:r w:rsidR="006564DA">
        <w:rPr>
          <w:rFonts w:eastAsiaTheme="minorEastAsia"/>
          <w:sz w:val="21"/>
          <w:szCs w:val="21"/>
        </w:rPr>
        <w:t xml:space="preserve"> </w:t>
      </w:r>
      <w:r w:rsidR="00D82B9C">
        <w:rPr>
          <w:rFonts w:eastAsiaTheme="minorEastAsia"/>
          <w:sz w:val="21"/>
          <w:szCs w:val="21"/>
        </w:rPr>
        <w:t>± 0.01</w:t>
      </w:r>
      <w:r w:rsidR="00072231">
        <w:rPr>
          <w:rFonts w:eastAsiaTheme="minorEastAsia"/>
          <w:sz w:val="21"/>
          <w:szCs w:val="21"/>
        </w:rPr>
        <w:t xml:space="preserve"> mg of Pu</w:t>
      </w:r>
      <w:r w:rsidR="00D82B9C">
        <w:rPr>
          <w:rFonts w:eastAsiaTheme="minorEastAsia"/>
          <w:sz w:val="21"/>
          <w:szCs w:val="21"/>
        </w:rPr>
        <w:t xml:space="preserve"> as measured by ICP-MS</w:t>
      </w:r>
      <w:r w:rsidR="00072231">
        <w:rPr>
          <w:rFonts w:eastAsiaTheme="minorEastAsia"/>
          <w:sz w:val="21"/>
          <w:szCs w:val="21"/>
        </w:rPr>
        <w:t>.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783B56">
        <w:rPr>
          <w:rFonts w:eastAsiaTheme="minorEastAsia"/>
          <w:sz w:val="21"/>
          <w:szCs w:val="21"/>
        </w:rPr>
        <w:fldChar w:fldCharType="begin"/>
      </w:r>
      <w:r w:rsidR="002F0F50">
        <w:rPr>
          <w:rFonts w:eastAsiaTheme="minorEastAsia"/>
          <w:sz w:val="21"/>
          <w:szCs w:val="21"/>
        </w:rPr>
        <w:instrText xml:space="preserve"> ADDIN EN.CITE &lt;EndNote&gt;&lt;Cite&gt;&lt;Author&gt;Zakrzewski&lt;/Author&gt;&lt;Year&gt;2013&lt;/Year&gt;&lt;RecNum&gt;205&lt;/RecNum&gt;&lt;DisplayText&gt;(Zakrzewski 2013, Canberra 2013a)&lt;/DisplayText&gt;&lt;record&gt;&lt;rec-number&gt;205&lt;/rec-number&gt;&lt;foreign-keys&gt;&lt;key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lt;/pages&gt;&lt;dates&gt;&lt;year&gt;2013&lt;/year&gt;&lt;/dates&gt;&lt;urls&gt;&lt;/urls&gt;&lt;/record&gt;&lt;/Cite&gt;&lt;Cite&gt;&lt;Author&gt;Canberra&lt;/Author&gt;&lt;Year&gt;2013a&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a&lt;/year&gt;&lt;/dates&gt;&lt;urls&gt;&lt;related-urls&gt;&lt;url&gt;http://www.canberra.com/products/detectors/pdf/SEGe-detectors-C40021.pdf&lt;/url&gt;&lt;/related-urls&gt;&lt;/urls&gt;&lt;/record&gt;&lt;/Cite&gt;&lt;/EndNote&gt;</w:instrText>
      </w:r>
      <w:r w:rsidR="00783B56">
        <w:rPr>
          <w:rFonts w:eastAsiaTheme="minorEastAsia"/>
          <w:sz w:val="21"/>
          <w:szCs w:val="21"/>
        </w:rPr>
        <w:fldChar w:fldCharType="separate"/>
      </w:r>
      <w:r w:rsidR="002F0F50">
        <w:rPr>
          <w:rFonts w:eastAsiaTheme="minorEastAsia"/>
          <w:noProof/>
          <w:sz w:val="21"/>
          <w:szCs w:val="21"/>
        </w:rPr>
        <w:t>(Zakrzewski 2013, Canberra 2013a)</w:t>
      </w:r>
      <w:r w:rsidR="00783B56">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2F0F50">
        <w:rPr>
          <w:rFonts w:eastAsiaTheme="minorEastAsia"/>
          <w:sz w:val="21"/>
          <w:szCs w:val="21"/>
        </w:rPr>
        <w:instrText xml:space="preserve"> ADDIN EN.CITE &lt;EndNote&gt;&lt;Cite&gt;&lt;Author&gt;Canberra&lt;/Author&gt;&lt;Year&gt;2013&lt;/Year&gt;&lt;RecNum&gt;206&lt;/RecNum&gt;&lt;DisplayText&gt;(Canberra 2013b)&lt;/DisplayText&gt;&lt;record&gt;&lt;rec-number&gt;206&lt;/rec-number&gt;&lt;foreign-keys&gt;&lt;key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b&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2F0F50">
        <w:rPr>
          <w:rFonts w:eastAsiaTheme="minorEastAsia"/>
          <w:noProof/>
          <w:sz w:val="21"/>
          <w:szCs w:val="21"/>
        </w:rPr>
        <w:t>(Canberra 2013b)</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w:t>
      </w:r>
      <w:r w:rsidR="000B1748">
        <w:rPr>
          <w:rFonts w:eastAsiaTheme="minorEastAsia"/>
          <w:sz w:val="21"/>
          <w:szCs w:val="21"/>
          <w:vertAlign w:val="subscript"/>
        </w:rPr>
        <w:t>2</w:t>
      </w:r>
      <w:r w:rsidR="00E00957">
        <w:rPr>
          <w:rFonts w:eastAsiaTheme="minorEastAsia"/>
          <w:sz w:val="21"/>
          <w:szCs w:val="21"/>
        </w:rPr>
        <w:t>, I</w:t>
      </w:r>
      <w:r w:rsidR="000B1748">
        <w:rPr>
          <w:rFonts w:eastAsiaTheme="minorEastAsia"/>
          <w:sz w:val="21"/>
          <w:szCs w:val="21"/>
          <w:vertAlign w:val="subscript"/>
        </w:rPr>
        <w:t>2</w:t>
      </w:r>
      <w:r w:rsidR="00E00957">
        <w:rPr>
          <w:rFonts w:eastAsiaTheme="minorEastAsia"/>
          <w:sz w:val="21"/>
          <w:szCs w:val="21"/>
        </w:rPr>
        <w:t xml:space="preserve">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benchtop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w:t>
      </w:r>
      <w:r w:rsidR="000B1748">
        <w:rPr>
          <w:rFonts w:eastAsiaTheme="minorEastAsia"/>
          <w:sz w:val="21"/>
          <w:szCs w:val="21"/>
        </w:rPr>
        <w:t xml:space="preserve"> vials</w:t>
      </w:r>
      <w:r w:rsidR="00AA4D29">
        <w:rPr>
          <w:rFonts w:eastAsiaTheme="minorEastAsia"/>
          <w:sz w:val="21"/>
          <w:szCs w:val="21"/>
        </w:rPr>
        <w:t xml:space="preserve">. </w:t>
      </w:r>
    </w:p>
    <w:p w:rsidR="00F5698D" w:rsidRPr="00AA4D29" w:rsidRDefault="00C05230" w:rsidP="00233720">
      <w:pPr>
        <w:ind w:firstLine="360"/>
        <w:rPr>
          <w:rFonts w:eastAsiaTheme="minorEastAsia"/>
          <w:sz w:val="21"/>
          <w:szCs w:val="21"/>
        </w:rPr>
      </w:pPr>
      <w:r>
        <w:rPr>
          <w:rFonts w:eastAsiaTheme="minorEastAsia"/>
          <w:sz w:val="21"/>
          <w:szCs w:val="21"/>
        </w:rPr>
        <w:t>Each extraction and back-extraction mi</w:t>
      </w:r>
      <w:r w:rsidR="00982F21">
        <w:rPr>
          <w:rFonts w:eastAsiaTheme="minorEastAsia"/>
          <w:sz w:val="21"/>
          <w:szCs w:val="21"/>
        </w:rPr>
        <w:t>xed organic and aqueous solutions</w:t>
      </w:r>
      <w:r>
        <w:rPr>
          <w:rFonts w:eastAsiaTheme="minorEastAsia"/>
          <w:sz w:val="21"/>
          <w:szCs w:val="21"/>
        </w:rPr>
        <w:t xml:space="preserve">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26279B">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reprocessing&lt;/title&gt;&lt;/titles&gt;&lt;section&gt;162-272&lt;/section&gt;&lt;keywords&gt;&lt;keyword&gt;Nuclear fuels&lt;/keyword&gt;&lt;/keywords&gt;&lt;dates&gt;&lt;year&gt;1967&lt;/year&gt;&lt;/dates&gt;&lt;publisher&gt;New York : Gordon and Breach Science Publishers&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All results presented below have been corrected to those that w</w:t>
      </w:r>
      <w:r w:rsidR="003003F4">
        <w:rPr>
          <w:rFonts w:eastAsiaTheme="minorEastAsia"/>
          <w:sz w:val="21"/>
          <w:szCs w:val="21"/>
        </w:rPr>
        <w:t>ould be expected for equal</w:t>
      </w:r>
      <w:r w:rsidR="00F5698D">
        <w:rPr>
          <w:rFonts w:eastAsiaTheme="minorEastAsia"/>
          <w:sz w:val="21"/>
          <w:szCs w:val="21"/>
        </w:rPr>
        <w:t xml:space="preserve"> volumes between aqueous and organic solutions during both extraction and back-extraction. Results are also corrected to zero hold-up volume.</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w:t>
      </w:r>
      <w:r w:rsidR="00847AAC">
        <w:rPr>
          <w:sz w:val="21"/>
          <w:szCs w:val="21"/>
        </w:rPr>
        <w:t>recover</w:t>
      </w:r>
      <w:r w:rsidR="00006F55" w:rsidRPr="000A098C">
        <w:rPr>
          <w:sz w:val="21"/>
          <w:szCs w:val="21"/>
        </w:rPr>
        <w:t xml:space="preserve"> 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rsidR="00E50AB6" w:rsidRPr="00E50AB6" w:rsidRDefault="00E50AB6" w:rsidP="00E50AB6">
      <w:pPr>
        <w:keepNext/>
        <w:spacing w:line="240" w:lineRule="auto"/>
        <w:jc w:val="center"/>
        <w:rPr>
          <w:rFonts w:eastAsia="Times New Roman" w:cs="Times New Roman"/>
          <w:iCs/>
          <w:sz w:val="21"/>
          <w:szCs w:val="21"/>
        </w:rPr>
      </w:pPr>
      <w:bookmarkStart w:id="4"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4"/>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p>
        </w:tc>
        <w:tc>
          <w:tcPr>
            <w:tcW w:w="1506"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rsidR="00E50AB6" w:rsidRDefault="00E50AB6" w:rsidP="00781E07">
      <w:pPr>
        <w:ind w:firstLine="360"/>
        <w:rPr>
          <w:sz w:val="21"/>
          <w:szCs w:val="21"/>
        </w:rPr>
      </w:pPr>
    </w:p>
    <w:p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This is due to the increased concentration of nitrite in solution</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6E27FD">
        <w:rPr>
          <w:sz w:val="21"/>
          <w:szCs w:val="21"/>
        </w:rPr>
        <w:t xml:space="preserve">.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1B6590">
        <w:rPr>
          <w:sz w:val="21"/>
          <w:szCs w:val="21"/>
        </w:rPr>
        <w:t xml:space="preserve"> was estimated with </w:t>
      </w:r>
      <w:r w:rsidR="001323FE">
        <w:rPr>
          <w:sz w:val="21"/>
          <w:szCs w:val="21"/>
        </w:rPr>
        <w:t xml:space="preserve">the </w:t>
      </w:r>
      <w:r w:rsidR="001B6590">
        <w:rPr>
          <w:sz w:val="21"/>
          <w:szCs w:val="21"/>
        </w:rPr>
        <w:t xml:space="preserve">published data </w:t>
      </w:r>
      <w:r w:rsidR="006E27FD">
        <w:rPr>
          <w:sz w:val="21"/>
          <w:szCs w:val="21"/>
        </w:rPr>
        <w:t>to be approximately</w:t>
      </w:r>
      <w:r w:rsidR="007A743C" w:rsidRPr="007A743C">
        <w:rPr>
          <w:sz w:val="21"/>
          <w:szCs w:val="21"/>
        </w:rPr>
        <w:t xml:space="preserve"> 4 days</w:t>
      </w:r>
      <w:r w:rsidR="001B6590">
        <w:rPr>
          <w:sz w:val="21"/>
          <w:szCs w:val="21"/>
        </w:rPr>
        <w:t xml:space="preserve"> </w:t>
      </w:r>
      <w:r w:rsidR="001B6590">
        <w:rPr>
          <w:sz w:val="21"/>
          <w:szCs w:val="21"/>
        </w:rPr>
        <w:fldChar w:fldCharType="begin"/>
      </w:r>
      <w:r w:rsidR="001B6590">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1B6590">
        <w:rPr>
          <w:sz w:val="21"/>
          <w:szCs w:val="21"/>
        </w:rPr>
        <w:fldChar w:fldCharType="separate"/>
      </w:r>
      <w:r w:rsidR="001B6590">
        <w:rPr>
          <w:noProof/>
          <w:sz w:val="21"/>
          <w:szCs w:val="21"/>
        </w:rPr>
        <w:t>(Stoller 1961)</w:t>
      </w:r>
      <w:r w:rsidR="001B6590">
        <w:rPr>
          <w:sz w:val="21"/>
          <w:szCs w:val="21"/>
        </w:rPr>
        <w:fldChar w:fldCharType="end"/>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w:t>
      </w:r>
      <w:r w:rsidR="0007232F">
        <w:rPr>
          <w:sz w:val="21"/>
          <w:szCs w:val="21"/>
        </w:rPr>
        <w:t xml:space="preserve"> due to reasons described above: the</w:t>
      </w:r>
      <w:r w:rsidR="00C52C90" w:rsidRPr="00C52C90">
        <w:rPr>
          <w:sz w:val="21"/>
          <w:szCs w:val="21"/>
        </w:rPr>
        <w:t xml:space="preserve"> extraction and back-extraction </w:t>
      </w:r>
      <w:r w:rsidR="00FA77A7">
        <w:rPr>
          <w:sz w:val="21"/>
          <w:szCs w:val="21"/>
        </w:rPr>
        <w:t xml:space="preserve">were performed </w:t>
      </w:r>
      <w:r w:rsidR="00C52C90" w:rsidRPr="00C52C90">
        <w:rPr>
          <w:sz w:val="21"/>
          <w:szCs w:val="21"/>
        </w:rPr>
        <w:t>without intermittent scrubbing</w:t>
      </w:r>
      <w:r w:rsidR="00FA77A7">
        <w:rPr>
          <w:sz w:val="21"/>
          <w:szCs w:val="21"/>
        </w:rPr>
        <w:t>,</w:t>
      </w:r>
      <w:r w:rsidR="00C52C90" w:rsidRPr="00C52C90">
        <w:rPr>
          <w:sz w:val="21"/>
          <w:szCs w:val="21"/>
        </w:rPr>
        <w:t xml:space="preserve"> and </w:t>
      </w:r>
      <w:r w:rsidR="00FA77A7">
        <w:rPr>
          <w:sz w:val="21"/>
          <w:szCs w:val="21"/>
        </w:rPr>
        <w:t xml:space="preserve">the </w:t>
      </w:r>
      <w:r w:rsidR="00C52C90" w:rsidRPr="00C52C90">
        <w:rPr>
          <w:sz w:val="21"/>
          <w:szCs w:val="21"/>
        </w:rPr>
        <w:t>number of stages</w:t>
      </w:r>
      <w:r w:rsidR="00FA77A7">
        <w:rPr>
          <w:sz w:val="21"/>
          <w:szCs w:val="21"/>
        </w:rPr>
        <w:t xml:space="preserve"> was low</w:t>
      </w:r>
      <w:r w:rsidR="00C52C90" w:rsidRPr="00C52C90">
        <w:rPr>
          <w:sz w:val="21"/>
          <w:szCs w:val="21"/>
        </w:rPr>
        <w:t>.</w:t>
      </w:r>
    </w:p>
    <w:p w:rsidR="00B4560E" w:rsidRPr="000A098C" w:rsidRDefault="00B4560E" w:rsidP="00636933">
      <w:pPr>
        <w:pStyle w:val="Caption"/>
        <w:keepNext/>
        <w:spacing w:after="0"/>
        <w:rPr>
          <w:sz w:val="21"/>
          <w:szCs w:val="21"/>
        </w:rPr>
      </w:pPr>
      <w:bookmarkStart w:id="5"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5"/>
      <w:r w:rsidRPr="000A098C">
        <w:rPr>
          <w:noProof/>
          <w:sz w:val="21"/>
          <w:szCs w:val="21"/>
        </w:rPr>
        <w:t xml:space="preserve"> Decontamination factors for single and multiple contacts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Mo (42)</w:t>
            </w:r>
          </w:p>
        </w:tc>
        <w:tc>
          <w:tcPr>
            <w:tcW w:w="891" w:type="dxa"/>
          </w:tcPr>
          <w:p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Ru (44)</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Cd (48)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Cs (55)</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Ce (58)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Pm (61)</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Sm (62)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U (92)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F76A86" w:rsidRDefault="00C52C90" w:rsidP="00C52C90">
      <w:pPr>
        <w:ind w:firstLine="360"/>
        <w:rPr>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of</w:t>
      </w:r>
      <w:r w:rsidR="000A7D34">
        <w:rPr>
          <w:sz w:val="21"/>
          <w:szCs w:val="21"/>
        </w:rPr>
        <w:t xml:space="preserve"> the</w:t>
      </w:r>
      <w:r w:rsidR="000531CB">
        <w:rPr>
          <w:sz w:val="21"/>
          <w:szCs w:val="21"/>
        </w:rPr>
        <w:t xml:space="preserve"> </w:t>
      </w:r>
      <w:r w:rsidR="001323FE">
        <w:rPr>
          <w:sz w:val="21"/>
          <w:szCs w:val="21"/>
        </w:rPr>
        <w:t>four</w:t>
      </w:r>
      <w:r w:rsidR="000531CB">
        <w:rPr>
          <w:sz w:val="21"/>
          <w:szCs w:val="21"/>
        </w:rPr>
        <w:t xml:space="preserve"> </w:t>
      </w:r>
      <w:r w:rsidR="000531CB">
        <w:rPr>
          <w:sz w:val="21"/>
          <w:szCs w:val="21"/>
        </w:rPr>
        <w:lastRenderedPageBreak/>
        <w:t xml:space="preserve">extraction and </w:t>
      </w:r>
      <w:r w:rsidR="001323FE">
        <w:rPr>
          <w:sz w:val="21"/>
          <w:szCs w:val="21"/>
        </w:rPr>
        <w:t xml:space="preserve">three </w:t>
      </w:r>
      <w:r w:rsidR="000531CB">
        <w:rPr>
          <w:sz w:val="21"/>
          <w:szCs w:val="21"/>
        </w:rPr>
        <w:t>back-</w:t>
      </w:r>
      <w:r w:rsidR="004050B8">
        <w:rPr>
          <w:sz w:val="21"/>
          <w:szCs w:val="21"/>
        </w:rPr>
        <w:t>extraction steps</w:t>
      </w:r>
      <w:r w:rsidR="00D8740D">
        <w:rPr>
          <w:sz w:val="21"/>
          <w:szCs w:val="21"/>
        </w:rPr>
        <w:t xml:space="preserve"> </w:t>
      </w:r>
      <w:r w:rsidR="001323FE">
        <w:rPr>
          <w:sz w:val="21"/>
          <w:szCs w:val="21"/>
        </w:rPr>
        <w:t>in</w:t>
      </w:r>
      <w:r w:rsidR="00D8740D">
        <w:rPr>
          <w:sz w:val="21"/>
          <w:szCs w:val="21"/>
        </w:rPr>
        <w:t xml:space="preserve"> cycle</w:t>
      </w:r>
      <w:r w:rsidR="001323FE">
        <w:rPr>
          <w:sz w:val="21"/>
          <w:szCs w:val="21"/>
        </w:rPr>
        <w:t xml:space="preserve"> 1 of experiment 2 compared to one extraction and one back extraction in experiment 1</w:t>
      </w:r>
      <w:r w:rsidR="00540CFF">
        <w:rPr>
          <w:sz w:val="21"/>
          <w:szCs w:val="21"/>
        </w:rPr>
        <w:t>.</w:t>
      </w:r>
      <w:r w:rsidR="00FC064E">
        <w:rPr>
          <w:sz w:val="21"/>
          <w:szCs w:val="21"/>
        </w:rPr>
        <w:t xml:space="preserve"> </w:t>
      </w:r>
    </w:p>
    <w:p w:rsidR="00C85567" w:rsidRDefault="00FC064E" w:rsidP="00FC064E">
      <w:pPr>
        <w:ind w:firstLine="360"/>
        <w:rPr>
          <w:color w:val="FF0000"/>
          <w:sz w:val="21"/>
          <w:szCs w:val="21"/>
        </w:rPr>
      </w:pPr>
      <w:r>
        <w:rPr>
          <w:sz w:val="21"/>
          <w:szCs w:val="21"/>
        </w:rPr>
        <w:t xml:space="preserve">This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9A1680" w:rsidRPr="000A098C">
        <w:rPr>
          <w:sz w:val="21"/>
          <w:szCs w:val="21"/>
        </w:rPr>
        <w:t xml:space="preserve">Figure </w:t>
      </w:r>
      <w:r w:rsidR="009A1680">
        <w:rPr>
          <w:noProof/>
          <w:sz w:val="21"/>
          <w:szCs w:val="21"/>
        </w:rPr>
        <w:t>1</w:t>
      </w:r>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0A7D34">
        <w:rPr>
          <w:sz w:val="21"/>
          <w:szCs w:val="21"/>
        </w:rPr>
        <w:t xml:space="preserve">. Higher </w:t>
      </w:r>
      <w:r w:rsidR="00497548" w:rsidRPr="00497548">
        <w:rPr>
          <w:sz w:val="21"/>
          <w:szCs w:val="21"/>
        </w:rPr>
        <w:t>number</w:t>
      </w:r>
      <w:r w:rsidR="000A7D34">
        <w:rPr>
          <w:sz w:val="21"/>
          <w:szCs w:val="21"/>
        </w:rPr>
        <w:t>s</w:t>
      </w:r>
      <w:r w:rsidR="00497548" w:rsidRPr="00497548">
        <w:rPr>
          <w:sz w:val="21"/>
          <w:szCs w:val="21"/>
        </w:rPr>
        <w:t xml:space="preserve"> of contacts decrease DF because less and less </w:t>
      </w:r>
      <w:r w:rsidR="000A7D34">
        <w:rPr>
          <w:sz w:val="21"/>
          <w:szCs w:val="21"/>
        </w:rPr>
        <w:t>product is extracted</w:t>
      </w:r>
      <w:r w:rsidR="00497548" w:rsidRPr="00497548">
        <w:rPr>
          <w:sz w:val="21"/>
          <w:szCs w:val="21"/>
        </w:rPr>
        <w:t xml:space="preserve"> with each </w:t>
      </w:r>
      <w:r w:rsidR="000A7D34">
        <w:rPr>
          <w:sz w:val="21"/>
          <w:szCs w:val="21"/>
        </w:rPr>
        <w:t>step</w:t>
      </w:r>
      <w:r w:rsidR="00497548" w:rsidRPr="00497548">
        <w:rPr>
          <w:sz w:val="21"/>
          <w:szCs w:val="21"/>
        </w:rPr>
        <w:t xml:space="preserve">, while the amount of contaminant </w:t>
      </w:r>
      <w:r w:rsidR="000A7D34">
        <w:rPr>
          <w:sz w:val="21"/>
          <w:szCs w:val="21"/>
        </w:rPr>
        <w:t>extracted</w:t>
      </w:r>
      <w:r w:rsidR="00497548" w:rsidRPr="00497548">
        <w:rPr>
          <w:sz w:val="21"/>
          <w:szCs w:val="21"/>
        </w:rPr>
        <w:t xml:space="preserve"> is approximately equal.</w:t>
      </w:r>
      <w:r w:rsidR="000A7D34">
        <w:rPr>
          <w:sz w:val="21"/>
          <w:szCs w:val="21"/>
        </w:rPr>
        <w:t xml:space="preserve"> Experiment 2 DF values decrease relative to experiment 1 DF values</w:t>
      </w:r>
      <w:r>
        <w:rPr>
          <w:sz w:val="21"/>
          <w:szCs w:val="21"/>
        </w:rPr>
        <w:t xml:space="preserve"> because </w:t>
      </w:r>
      <w:r w:rsidR="000A7D34">
        <w:rPr>
          <w:sz w:val="21"/>
          <w:szCs w:val="21"/>
        </w:rPr>
        <w:t>of this</w:t>
      </w:r>
      <w:r>
        <w:rPr>
          <w:sz w:val="21"/>
          <w:szCs w:val="21"/>
        </w:rPr>
        <w:t>.</w:t>
      </w:r>
    </w:p>
    <w:p w:rsidR="00001DD0" w:rsidRPr="008B7808" w:rsidRDefault="00001DD0" w:rsidP="00C85567">
      <w:pPr>
        <w:rPr>
          <w:color w:val="FF0000"/>
          <w:sz w:val="21"/>
          <w:szCs w:val="21"/>
        </w:rPr>
      </w:pPr>
      <w:r w:rsidRPr="00001DD0">
        <w:rPr>
          <w:noProof/>
          <w:color w:val="FF0000"/>
          <w:sz w:val="21"/>
          <w:szCs w:val="21"/>
        </w:rPr>
        <w:drawing>
          <wp:inline distT="0" distB="0" distL="0" distR="0">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rsidR="00722AB2" w:rsidRPr="000A098C" w:rsidRDefault="00304B5E" w:rsidP="00C85567">
      <w:pPr>
        <w:keepNext/>
        <w:spacing w:before="240" w:line="240" w:lineRule="auto"/>
        <w:jc w:val="center"/>
        <w:rPr>
          <w:sz w:val="21"/>
          <w:szCs w:val="21"/>
        </w:rPr>
      </w:pPr>
      <w:bookmarkStart w:id="6" w:name="_Ref448247143"/>
      <w:bookmarkStart w:id="7"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6"/>
      <w:bookmarkEnd w:id="7"/>
      <w:r w:rsidRPr="000A098C">
        <w:rPr>
          <w:noProof/>
          <w:sz w:val="21"/>
          <w:szCs w:val="21"/>
        </w:rPr>
        <w:t xml:space="preserve"> DFs as a function of volume ratios for the first to fourth contact in TBP.</w:t>
      </w:r>
    </w:p>
    <w:p w:rsidR="000362C3" w:rsidRDefault="000362C3" w:rsidP="00497548">
      <w:pPr>
        <w:rPr>
          <w:rFonts w:eastAsiaTheme="minorEastAsia"/>
          <w:sz w:val="21"/>
          <w:szCs w:val="21"/>
        </w:rPr>
      </w:pPr>
    </w:p>
    <w:p w:rsidR="001323FE" w:rsidRDefault="001323FE" w:rsidP="00497548">
      <w:pPr>
        <w:rPr>
          <w:rFonts w:eastAsiaTheme="minorEastAsia"/>
          <w:sz w:val="21"/>
          <w:szCs w:val="21"/>
        </w:rPr>
      </w:pPr>
    </w:p>
    <w:p w:rsidR="001323FE" w:rsidRDefault="001323FE" w:rsidP="00497548">
      <w:pPr>
        <w:rPr>
          <w:rFonts w:eastAsiaTheme="minorEastAsia"/>
          <w:sz w:val="21"/>
          <w:szCs w:val="21"/>
        </w:rPr>
      </w:pPr>
    </w:p>
    <w:p w:rsidR="005027F3" w:rsidRPr="000A098C" w:rsidRDefault="00074C09" w:rsidP="00074C09">
      <w:pPr>
        <w:pStyle w:val="ListParagraph"/>
        <w:numPr>
          <w:ilvl w:val="0"/>
          <w:numId w:val="13"/>
        </w:numPr>
        <w:rPr>
          <w:b/>
          <w:sz w:val="21"/>
          <w:szCs w:val="21"/>
        </w:rPr>
      </w:pPr>
      <w:r w:rsidRPr="000A098C">
        <w:rPr>
          <w:b/>
          <w:sz w:val="21"/>
          <w:szCs w:val="21"/>
        </w:rPr>
        <w:lastRenderedPageBreak/>
        <w:t>Conclusions</w:t>
      </w:r>
    </w:p>
    <w:p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Pu 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rsidR="00495052" w:rsidRPr="00504DEA" w:rsidRDefault="000F21D6" w:rsidP="00504DEA">
      <w:pPr>
        <w:suppressLineNumbers/>
        <w:rPr>
          <w:b/>
          <w:sz w:val="22"/>
          <w:szCs w:val="22"/>
        </w:rPr>
      </w:pPr>
      <w:r w:rsidRPr="00504DEA">
        <w:rPr>
          <w:b/>
          <w:sz w:val="22"/>
          <w:szCs w:val="22"/>
        </w:rPr>
        <w:t>R</w:t>
      </w:r>
      <w:r w:rsidR="00504DEA">
        <w:rPr>
          <w:b/>
          <w:sz w:val="22"/>
          <w:szCs w:val="22"/>
        </w:rPr>
        <w:t>eferences</w:t>
      </w:r>
    </w:p>
    <w:p w:rsidR="002F0F50" w:rsidRPr="002F0F50" w:rsidRDefault="00495052" w:rsidP="002F0F50">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2F0F50" w:rsidRPr="002F0F50">
        <w:t>Alcock, K., Bedford, F., Hardwick, W. and McKay, H. (1957). "Tri-n-butyl phosphate as an extracting solvent for inorganic nitrates-I: Zirconium nitrate." Journal of Inorganic and Nuclear Chemistry 4(2): 100-105.</w:t>
      </w:r>
    </w:p>
    <w:p w:rsidR="002F0F50" w:rsidRPr="002F0F50" w:rsidRDefault="002F0F50" w:rsidP="002F0F50">
      <w:pPr>
        <w:pStyle w:val="EndNoteBibliography"/>
        <w:ind w:left="720" w:hanging="720"/>
      </w:pPr>
      <w:r w:rsidRPr="002F0F50">
        <w:t>Alcock, K., Best, G., Hesford, E. and McKay, H. (1958). "Tri-n-butyl phosphate as an extracting solvent for inorganic nitrates-V: Further results for the tetra-and hexavalent actinide nitrates." Journal of Inorganic and Nuclear Chemistry 6(4): 328-333.</w:t>
      </w:r>
    </w:p>
    <w:p w:rsidR="002F0F50" w:rsidRPr="002F0F50" w:rsidRDefault="002F0F50" w:rsidP="002F0F50">
      <w:pPr>
        <w:pStyle w:val="EndNoteBibliography"/>
        <w:ind w:left="720" w:hanging="720"/>
      </w:pPr>
      <w:r w:rsidRPr="002F0F50">
        <w:t>Arker, A. J. (1954). "Terminal report on PUREX program in KAPL separations pilot plant." Knolls Atomic Power Laboratory.</w:t>
      </w:r>
    </w:p>
    <w:p w:rsidR="002F0F50" w:rsidRPr="002F0F50" w:rsidRDefault="002F0F50" w:rsidP="002F0F50">
      <w:pPr>
        <w:pStyle w:val="EndNoteBibliography"/>
        <w:ind w:left="720" w:hanging="720"/>
      </w:pPr>
      <w:r w:rsidRPr="002F0F50">
        <w:t>Benedict, M., Levi, H. and Pigford, T. (1982). Nuclear chemical engineering, McGraw-Hill Pulishing. 84-214</w:t>
      </w:r>
    </w:p>
    <w:p w:rsidR="002F0F50" w:rsidRPr="002F0F50" w:rsidRDefault="002F0F50" w:rsidP="002F0F50">
      <w:pPr>
        <w:pStyle w:val="EndNoteBibliography"/>
        <w:ind w:left="720" w:hanging="720"/>
      </w:pPr>
      <w:r w:rsidRPr="002F0F50">
        <w:t>Best, G., Hesford, E. and McKay, H. (1959). "Tri-n-butyl phosphate as an extracting agent for inorganic nitrates-VII: The trivalent actinide nitrates." Journal of Inorganic and Nuclear Chemistry 12(1): 136-140.</w:t>
      </w:r>
    </w:p>
    <w:p w:rsidR="002F0F50" w:rsidRPr="002F0F50" w:rsidRDefault="002F0F50" w:rsidP="002F0F50">
      <w:pPr>
        <w:pStyle w:val="EndNoteBibliography"/>
        <w:ind w:left="720" w:hanging="720"/>
      </w:pPr>
      <w:r w:rsidRPr="002F0F50">
        <w:t>Best, G., McKay, H. and Woodgate, P. (1957). "Tri-n-butyl phosphate as an extracting solvent for inorganic nitrates—III The plutonium nitrates." Journal of Inorganic and Nuclear Chemistry 4(5): 315-320.</w:t>
      </w:r>
    </w:p>
    <w:p w:rsidR="002F0F50" w:rsidRPr="002F0F50" w:rsidRDefault="002F0F50" w:rsidP="002F0F50">
      <w:pPr>
        <w:pStyle w:val="EndNoteBibliography"/>
        <w:ind w:left="720" w:hanging="720"/>
      </w:pPr>
      <w:r w:rsidRPr="002F0F50">
        <w:t xml:space="preserve">Canberra. (2013a). "Standard electrode coaxial Ge detectors (SEGe)."   Retrieved 4/6/2016, from </w:t>
      </w:r>
      <w:hyperlink r:id="rId9" w:history="1">
        <w:r w:rsidRPr="002F0F50">
          <w:rPr>
            <w:rStyle w:val="Hyperlink"/>
          </w:rPr>
          <w:t>http://www.canberra.com/products/detectors/pdf/SEGe-detectors-C40021.pdf</w:t>
        </w:r>
      </w:hyperlink>
      <w:r w:rsidRPr="002F0F50">
        <w:t>.</w:t>
      </w:r>
    </w:p>
    <w:p w:rsidR="002F0F50" w:rsidRPr="002F0F50" w:rsidRDefault="002F0F50" w:rsidP="002F0F50">
      <w:pPr>
        <w:pStyle w:val="EndNoteBibliography"/>
        <w:ind w:left="720" w:hanging="720"/>
      </w:pPr>
      <w:r w:rsidRPr="002F0F50">
        <w:t xml:space="preserve">Canberra. (2013b). "Genie 2000 basic spectroscopy software."   Retrieved 4/6/2016, from </w:t>
      </w:r>
      <w:hyperlink r:id="rId10" w:history="1">
        <w:r w:rsidRPr="002F0F50">
          <w:rPr>
            <w:rStyle w:val="Hyperlink"/>
          </w:rPr>
          <w:t>http://www.canberra.com/products/radiochemistry_lab/pdf/G2K-BasicSpect-SS-C40220.pdf</w:t>
        </w:r>
      </w:hyperlink>
      <w:r w:rsidRPr="002F0F50">
        <w:t>.</w:t>
      </w:r>
    </w:p>
    <w:p w:rsidR="002F0F50" w:rsidRPr="002F0F50" w:rsidRDefault="002F0F50" w:rsidP="002F0F50">
      <w:pPr>
        <w:pStyle w:val="EndNoteBibliography"/>
        <w:ind w:left="720" w:hanging="720"/>
      </w:pPr>
      <w:r w:rsidRPr="002F0F50">
        <w:t>Chirayath, S. S., Osborn, J. M. and Coles, T. M. (2015). "Trace Fission Product Ratios for Nuclear Forensics Attribution of Weapons-Grade Plutonium from Fast and Thermal Reactors." Science &amp; Global Security 23(1): 48-67.</w:t>
      </w:r>
    </w:p>
    <w:p w:rsidR="002F0F50" w:rsidRPr="002F0F50" w:rsidRDefault="002F0F50" w:rsidP="002F0F50">
      <w:pPr>
        <w:pStyle w:val="EndNoteBibliography"/>
        <w:ind w:left="720" w:hanging="720"/>
      </w:pPr>
      <w:r w:rsidRPr="002F0F50">
        <w:t>Colburn, A. P. (1939). "Simplified calculation of diffusional processes." general consideration of two-film resistances 35: 211-236.</w:t>
      </w:r>
    </w:p>
    <w:p w:rsidR="002F0F50" w:rsidRPr="002F0F50" w:rsidRDefault="002F0F50" w:rsidP="002F0F50">
      <w:pPr>
        <w:pStyle w:val="EndNoteBibliography"/>
        <w:ind w:left="720" w:hanging="720"/>
      </w:pPr>
      <w:r w:rsidRPr="002F0F50">
        <w:t>Darby, D. O. and Chandler, J. M. (1954). "Terminal report for the ORNL pilot plant investigation of the PUREX process." Oak Ridge National Laboratory USAEC Report ORNL -1519.</w:t>
      </w:r>
    </w:p>
    <w:p w:rsidR="002F0F50" w:rsidRPr="002F0F50" w:rsidRDefault="002F0F50" w:rsidP="002F0F50">
      <w:pPr>
        <w:pStyle w:val="EndNoteBibliography"/>
        <w:ind w:left="720" w:hanging="720"/>
      </w:pPr>
      <w:r w:rsidRPr="002F0F50">
        <w:t>Hesford, E., Jackson, E. and McKay, H. (1959). "Tri-n-butyl phosphate as an extracting agent for inorganic nitrates—VI Further results for the rare earth nitrates." Journal of Inorganic and Nuclear Chemistry 9(3-4): 279-289.</w:t>
      </w:r>
    </w:p>
    <w:p w:rsidR="002F0F50" w:rsidRPr="002F0F50" w:rsidRDefault="002F0F50" w:rsidP="002F0F50">
      <w:pPr>
        <w:pStyle w:val="EndNoteBibliography"/>
        <w:ind w:left="720" w:hanging="720"/>
      </w:pPr>
      <w:r w:rsidRPr="002F0F50">
        <w:t>Hesford, E., McKay, H. and Scargill, D. (1957). "Tri-n-butyl phosphate as an extracting solvent for inorganic nitrates—IV Thorium nitrate." Journal of Inorganic and Nuclear Chemistry 4(5): 321-325.</w:t>
      </w:r>
    </w:p>
    <w:p w:rsidR="002F0F50" w:rsidRPr="002F0F50" w:rsidRDefault="002F0F50" w:rsidP="002F0F50">
      <w:pPr>
        <w:pStyle w:val="EndNoteBibliography"/>
        <w:ind w:left="720" w:hanging="720"/>
      </w:pPr>
      <w:r w:rsidRPr="002F0F50">
        <w:t>Irish, E. R. and Reas, W. H. (1957). The PUREX process-a solvent extraction reprocessing method for irradiated uranium. Richland, Washington, Hanford Atomic Products Operation.</w:t>
      </w:r>
    </w:p>
    <w:p w:rsidR="002F0F50" w:rsidRPr="002F0F50" w:rsidRDefault="002F0F50" w:rsidP="002F0F50">
      <w:pPr>
        <w:pStyle w:val="EndNoteBibliography"/>
        <w:ind w:left="720" w:hanging="720"/>
      </w:pPr>
      <w:r w:rsidRPr="002F0F50">
        <w:t>Lanham, W. B. and Gresky, A. T. (1950). "Purex process laboratory development." Oak Ridge National Laboratory USAEC Report ORNL-717.</w:t>
      </w:r>
    </w:p>
    <w:p w:rsidR="002F0F50" w:rsidRPr="002F0F50" w:rsidRDefault="002F0F50" w:rsidP="002F0F50">
      <w:pPr>
        <w:pStyle w:val="EndNoteBibliography"/>
        <w:ind w:left="720" w:hanging="720"/>
      </w:pPr>
      <w:r w:rsidRPr="002F0F50">
        <w:t>Long, J. T. (1967). Engineering for nuclear fuel reprocessing, New York : Gordon and Breach Science Publishers. 162-272</w:t>
      </w:r>
    </w:p>
    <w:p w:rsidR="002F0F50" w:rsidRPr="002F0F50" w:rsidRDefault="002F0F50" w:rsidP="002F0F50">
      <w:pPr>
        <w:pStyle w:val="EndNoteBibliography"/>
        <w:ind w:left="720" w:hanging="720"/>
      </w:pPr>
      <w:r w:rsidRPr="002F0F50">
        <w:t xml:space="preserve">PerkinElmer. (2009). "PerkinElmer NexION 300X quadrupole ICP-MS."   Retrieved 4/6/2016, from </w:t>
      </w:r>
      <w:hyperlink r:id="rId11" w:history="1">
        <w:r w:rsidRPr="002F0F50">
          <w:rPr>
            <w:rStyle w:val="Hyperlink"/>
          </w:rPr>
          <w:t>https://partners.perkinelmer.com/Content/DealerSalesInfo/Product%20Lines/Inorganic/ICP-MS/Brochures/NexION%20300%20BRO_DEF.pdf</w:t>
        </w:r>
      </w:hyperlink>
      <w:r w:rsidRPr="002F0F50">
        <w:t>.</w:t>
      </w:r>
    </w:p>
    <w:p w:rsidR="002F0F50" w:rsidRPr="002F0F50" w:rsidRDefault="002F0F50" w:rsidP="002F0F50">
      <w:pPr>
        <w:pStyle w:val="EndNoteBibliography"/>
        <w:ind w:left="720" w:hanging="720"/>
      </w:pPr>
      <w:r w:rsidRPr="002F0F50">
        <w:t xml:space="preserve">Perry, R. H. and Green, D. W. (2008). Perry's chemical engineers' handbook. New York, McGraw-Hill. </w:t>
      </w:r>
    </w:p>
    <w:p w:rsidR="002F0F50" w:rsidRPr="002F0F50" w:rsidRDefault="002F0F50" w:rsidP="002F0F50">
      <w:pPr>
        <w:pStyle w:val="EndNoteBibliography"/>
        <w:ind w:left="720" w:hanging="720"/>
      </w:pPr>
      <w:r w:rsidRPr="002F0F50">
        <w:t>Scargill, D., Alcock, K., Fletcher, J., Hesford, E. and McKay, H. (1957). "Tri-n-butyl phosphate as an extracting solvent for inorganic nitrates-II Yttrium and the lower lanthanide nitrates." Journal of Inorganic and Nuclear Chemistry 4(5): 304-314.</w:t>
      </w:r>
    </w:p>
    <w:p w:rsidR="002F0F50" w:rsidRPr="002F0F50" w:rsidRDefault="002F0F50" w:rsidP="002F0F50">
      <w:pPr>
        <w:pStyle w:val="EndNoteBibliography"/>
        <w:ind w:left="720" w:hanging="720"/>
      </w:pPr>
      <w:r w:rsidRPr="002F0F50">
        <w:t xml:space="preserve">Sherwood, T. K. and Pigford, R. L. (1952). Absorption and extraction. 2d ed, New York : McGraw-Hill. </w:t>
      </w:r>
    </w:p>
    <w:p w:rsidR="002F0F50" w:rsidRPr="002F0F50" w:rsidRDefault="002F0F50" w:rsidP="002F0F50">
      <w:pPr>
        <w:pStyle w:val="EndNoteBibliography"/>
        <w:ind w:left="720" w:hanging="720"/>
      </w:pPr>
      <w:r w:rsidRPr="002F0F50">
        <w:t xml:space="preserve">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 </w:t>
      </w:r>
    </w:p>
    <w:p w:rsidR="002F0F50" w:rsidRPr="002F0F50" w:rsidRDefault="002F0F50" w:rsidP="002F0F50">
      <w:pPr>
        <w:pStyle w:val="EndNoteBibliography"/>
        <w:ind w:left="720" w:hanging="720"/>
      </w:pPr>
      <w:r w:rsidRPr="002F0F50">
        <w:lastRenderedPageBreak/>
        <w:t>Simpson, F. M. and Law, D. J. (2010). Nuclear fuel reprocessing - INL/EXT-10-17753, Idaho National Laboratory (INL).</w:t>
      </w:r>
    </w:p>
    <w:p w:rsidR="002F0F50" w:rsidRPr="002F0F50" w:rsidRDefault="002F0F50" w:rsidP="002F0F50">
      <w:pPr>
        <w:pStyle w:val="EndNoteBibliography"/>
        <w:ind w:left="720" w:hanging="720"/>
      </w:pPr>
      <w:r w:rsidRPr="002F0F50">
        <w:t>Stoller, S. and Richards, R. (1961). "Reactor handbook, volume II, fuel reprocessing." Inter science Publishers, Inc., New York: 107-234.</w:t>
      </w:r>
    </w:p>
    <w:p w:rsidR="002F0F50" w:rsidRPr="002F0F50" w:rsidRDefault="002F0F50" w:rsidP="002F0F50">
      <w:pPr>
        <w:pStyle w:val="EndNoteBibliography"/>
        <w:ind w:left="720" w:hanging="720"/>
      </w:pPr>
      <w:r w:rsidRPr="002F0F50">
        <w:t>Swinney, M. W. (2015). Experimental and computational assessment of trace nuclide ratios in weapons grade plutonium for nuclear forensics analysis. Doctor of Philosophy, Texas A&amp;M University.</w:t>
      </w:r>
    </w:p>
    <w:p w:rsidR="002F0F50" w:rsidRPr="002F0F50" w:rsidRDefault="002F0F50" w:rsidP="002F0F50">
      <w:pPr>
        <w:pStyle w:val="EndNoteBibliography"/>
        <w:ind w:left="720" w:hanging="720"/>
      </w:pPr>
      <w:r w:rsidRPr="002F0F50">
        <w:t>Swinney, M. W. and Chirayath, S. S. (2014). "Comparison of FBR and HFIR Monte-Carlo Simulations with Validation from Gamma Spectroscopy in Support of the NFASP Project." Transactions of American Nuclear Society 111(1): 999-1001.</w:t>
      </w:r>
    </w:p>
    <w:p w:rsidR="002F0F50" w:rsidRPr="002F0F50" w:rsidRDefault="002F0F50" w:rsidP="002F0F50">
      <w:pPr>
        <w:pStyle w:val="EndNoteBibliography"/>
        <w:ind w:left="720" w:hanging="720"/>
      </w:pPr>
      <w:r w:rsidRPr="002F0F50">
        <w:t>Zakrzewski, B. and Jordanov, V. (2013). "Versatility of modern digital signal processing: LYNX® - a platform for global spectroscopy applications." Digital Nuclear Spectroscopy: 87.</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2"/>
      <w:footerReference w:type="first" r:id="rId13"/>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28E" w:rsidRDefault="0033528E" w:rsidP="00A24836">
      <w:pPr>
        <w:spacing w:line="240" w:lineRule="auto"/>
      </w:pPr>
      <w:r>
        <w:separator/>
      </w:r>
    </w:p>
  </w:endnote>
  <w:endnote w:type="continuationSeparator" w:id="0">
    <w:p w:rsidR="0033528E" w:rsidRDefault="0033528E"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FB1515">
          <w:rPr>
            <w:noProof/>
          </w:rPr>
          <w:t>14</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Email address: sunilsc@tamu.edu (Sunil S. Chirayath)</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FB1515">
      <w:rPr>
        <w:noProof/>
        <w:sz w:val="20"/>
        <w:szCs w:val="20"/>
      </w:rPr>
      <w:t>May 3,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28E" w:rsidRDefault="0033528E" w:rsidP="00A24836">
      <w:pPr>
        <w:spacing w:line="240" w:lineRule="auto"/>
      </w:pPr>
      <w:r>
        <w:separator/>
      </w:r>
    </w:p>
  </w:footnote>
  <w:footnote w:type="continuationSeparator" w:id="0">
    <w:p w:rsidR="0033528E" w:rsidRDefault="0033528E"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2&lt;/item&gt;&lt;item&gt;205&lt;/item&gt;&lt;item&gt;206&lt;/item&gt;&lt;item&gt;207&lt;/item&gt;&lt;item&gt;208&lt;/item&gt;&lt;item&gt;210&lt;/item&gt;&lt;/record-ids&gt;&lt;/item&gt;&lt;/Libraries&gt;"/>
  </w:docVars>
  <w:rsids>
    <w:rsidRoot w:val="00C83BF7"/>
    <w:rsid w:val="00001DD0"/>
    <w:rsid w:val="0000575E"/>
    <w:rsid w:val="00006BD6"/>
    <w:rsid w:val="00006F55"/>
    <w:rsid w:val="00007AB8"/>
    <w:rsid w:val="00007E98"/>
    <w:rsid w:val="0001052E"/>
    <w:rsid w:val="00010FDC"/>
    <w:rsid w:val="00011CDE"/>
    <w:rsid w:val="00014CDB"/>
    <w:rsid w:val="00014F9B"/>
    <w:rsid w:val="00017C61"/>
    <w:rsid w:val="00020AAB"/>
    <w:rsid w:val="00021587"/>
    <w:rsid w:val="0002264F"/>
    <w:rsid w:val="00022A05"/>
    <w:rsid w:val="0003051D"/>
    <w:rsid w:val="000312D5"/>
    <w:rsid w:val="00032A03"/>
    <w:rsid w:val="00032CD2"/>
    <w:rsid w:val="00034F6B"/>
    <w:rsid w:val="000362C3"/>
    <w:rsid w:val="0003680E"/>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32F"/>
    <w:rsid w:val="000727FC"/>
    <w:rsid w:val="00073AC3"/>
    <w:rsid w:val="00074C09"/>
    <w:rsid w:val="00075DF2"/>
    <w:rsid w:val="00076E22"/>
    <w:rsid w:val="00077E30"/>
    <w:rsid w:val="000804E6"/>
    <w:rsid w:val="00080A81"/>
    <w:rsid w:val="00082E67"/>
    <w:rsid w:val="00083B94"/>
    <w:rsid w:val="00096118"/>
    <w:rsid w:val="000A098C"/>
    <w:rsid w:val="000A14E7"/>
    <w:rsid w:val="000A2EE7"/>
    <w:rsid w:val="000A415C"/>
    <w:rsid w:val="000A6490"/>
    <w:rsid w:val="000A7D34"/>
    <w:rsid w:val="000B1748"/>
    <w:rsid w:val="000B4468"/>
    <w:rsid w:val="000C39AA"/>
    <w:rsid w:val="000C5E4E"/>
    <w:rsid w:val="000D0F7B"/>
    <w:rsid w:val="000D2E3F"/>
    <w:rsid w:val="000D3DB4"/>
    <w:rsid w:val="000D5818"/>
    <w:rsid w:val="000D5BC8"/>
    <w:rsid w:val="000D6F09"/>
    <w:rsid w:val="000E081D"/>
    <w:rsid w:val="000E4078"/>
    <w:rsid w:val="000F197D"/>
    <w:rsid w:val="000F21D6"/>
    <w:rsid w:val="000F630E"/>
    <w:rsid w:val="000F70A4"/>
    <w:rsid w:val="001062EB"/>
    <w:rsid w:val="001101B8"/>
    <w:rsid w:val="0011257D"/>
    <w:rsid w:val="001135DC"/>
    <w:rsid w:val="00116F7B"/>
    <w:rsid w:val="00117D32"/>
    <w:rsid w:val="00117FBC"/>
    <w:rsid w:val="00122613"/>
    <w:rsid w:val="00122851"/>
    <w:rsid w:val="00127B1A"/>
    <w:rsid w:val="00130C9F"/>
    <w:rsid w:val="001323FE"/>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590"/>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279B"/>
    <w:rsid w:val="00263D10"/>
    <w:rsid w:val="00264C1A"/>
    <w:rsid w:val="00266B2B"/>
    <w:rsid w:val="00266E82"/>
    <w:rsid w:val="00267066"/>
    <w:rsid w:val="00270E82"/>
    <w:rsid w:val="00271588"/>
    <w:rsid w:val="00271879"/>
    <w:rsid w:val="0027206B"/>
    <w:rsid w:val="00283CFA"/>
    <w:rsid w:val="0028541D"/>
    <w:rsid w:val="002861BF"/>
    <w:rsid w:val="00286C2F"/>
    <w:rsid w:val="0028761B"/>
    <w:rsid w:val="00287650"/>
    <w:rsid w:val="00292DF4"/>
    <w:rsid w:val="0029352E"/>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0F50"/>
    <w:rsid w:val="002F634F"/>
    <w:rsid w:val="002F6AD2"/>
    <w:rsid w:val="003003F4"/>
    <w:rsid w:val="00302490"/>
    <w:rsid w:val="00304B5E"/>
    <w:rsid w:val="0030543D"/>
    <w:rsid w:val="00310257"/>
    <w:rsid w:val="003112E2"/>
    <w:rsid w:val="00313F43"/>
    <w:rsid w:val="00322A6F"/>
    <w:rsid w:val="00327116"/>
    <w:rsid w:val="0032758E"/>
    <w:rsid w:val="00330F39"/>
    <w:rsid w:val="0033528E"/>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5AC4"/>
    <w:rsid w:val="007204FF"/>
    <w:rsid w:val="00722AB2"/>
    <w:rsid w:val="00731251"/>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83B56"/>
    <w:rsid w:val="0079047B"/>
    <w:rsid w:val="00791265"/>
    <w:rsid w:val="007914E6"/>
    <w:rsid w:val="007928C2"/>
    <w:rsid w:val="00794C57"/>
    <w:rsid w:val="007A6BE1"/>
    <w:rsid w:val="007A743C"/>
    <w:rsid w:val="007B2905"/>
    <w:rsid w:val="007B3289"/>
    <w:rsid w:val="007B3679"/>
    <w:rsid w:val="007B6CE4"/>
    <w:rsid w:val="007B6F03"/>
    <w:rsid w:val="007C62F8"/>
    <w:rsid w:val="007C665F"/>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4BA3"/>
    <w:rsid w:val="00825518"/>
    <w:rsid w:val="00836D01"/>
    <w:rsid w:val="00842062"/>
    <w:rsid w:val="00844A34"/>
    <w:rsid w:val="00844C2E"/>
    <w:rsid w:val="00847738"/>
    <w:rsid w:val="00847AAC"/>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E4A2F"/>
    <w:rsid w:val="008F04D8"/>
    <w:rsid w:val="008F5B94"/>
    <w:rsid w:val="00900268"/>
    <w:rsid w:val="0090160D"/>
    <w:rsid w:val="00902988"/>
    <w:rsid w:val="00902A52"/>
    <w:rsid w:val="00906FB6"/>
    <w:rsid w:val="00921153"/>
    <w:rsid w:val="00927BF6"/>
    <w:rsid w:val="0093517F"/>
    <w:rsid w:val="009358AA"/>
    <w:rsid w:val="00935F67"/>
    <w:rsid w:val="009374C6"/>
    <w:rsid w:val="00941F8C"/>
    <w:rsid w:val="0094321D"/>
    <w:rsid w:val="00943E37"/>
    <w:rsid w:val="009453E3"/>
    <w:rsid w:val="00950490"/>
    <w:rsid w:val="00952C54"/>
    <w:rsid w:val="009535B7"/>
    <w:rsid w:val="0095605F"/>
    <w:rsid w:val="009561CA"/>
    <w:rsid w:val="009561D5"/>
    <w:rsid w:val="0096393E"/>
    <w:rsid w:val="00966A8E"/>
    <w:rsid w:val="00972BD5"/>
    <w:rsid w:val="009736FF"/>
    <w:rsid w:val="00974BF1"/>
    <w:rsid w:val="00982F21"/>
    <w:rsid w:val="00986D65"/>
    <w:rsid w:val="00986E78"/>
    <w:rsid w:val="00990802"/>
    <w:rsid w:val="009947D9"/>
    <w:rsid w:val="00995D10"/>
    <w:rsid w:val="009A138F"/>
    <w:rsid w:val="009A1680"/>
    <w:rsid w:val="009A3733"/>
    <w:rsid w:val="009A6124"/>
    <w:rsid w:val="009A7A18"/>
    <w:rsid w:val="009B123E"/>
    <w:rsid w:val="009B2702"/>
    <w:rsid w:val="009B5FDB"/>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AF740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66048"/>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D7E1A"/>
    <w:rsid w:val="00CE1536"/>
    <w:rsid w:val="00CE25FB"/>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65BBB"/>
    <w:rsid w:val="00D71F6F"/>
    <w:rsid w:val="00D71FE7"/>
    <w:rsid w:val="00D73499"/>
    <w:rsid w:val="00D7496B"/>
    <w:rsid w:val="00D76A17"/>
    <w:rsid w:val="00D77F4C"/>
    <w:rsid w:val="00D81FAF"/>
    <w:rsid w:val="00D82B9C"/>
    <w:rsid w:val="00D83B6E"/>
    <w:rsid w:val="00D844CE"/>
    <w:rsid w:val="00D85EDC"/>
    <w:rsid w:val="00D85F2A"/>
    <w:rsid w:val="00D864CD"/>
    <w:rsid w:val="00D8740D"/>
    <w:rsid w:val="00D91EC5"/>
    <w:rsid w:val="00D96183"/>
    <w:rsid w:val="00DA015D"/>
    <w:rsid w:val="00DA1FE3"/>
    <w:rsid w:val="00DA2D8F"/>
    <w:rsid w:val="00DA6A82"/>
    <w:rsid w:val="00DA70F7"/>
    <w:rsid w:val="00DA771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3786E"/>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02115"/>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7A7"/>
    <w:rsid w:val="00FA7886"/>
    <w:rsid w:val="00FB1515"/>
    <w:rsid w:val="00FB2D76"/>
    <w:rsid w:val="00FB4198"/>
    <w:rsid w:val="00FB4BC2"/>
    <w:rsid w:val="00FC064E"/>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tners.perkinelmer.com/Content/DealerSalesInfo/Product%20Lines/Inorganic/ICP-MS/Brochures/NexION%20300%20BRO_DE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nberra.com/products/radiochemistry_lab/pdf/G2K-BasicSpect-SS-C40220.pdf" TargetMode="External"/><Relationship Id="rId4" Type="http://schemas.openxmlformats.org/officeDocument/2006/relationships/settings" Target="settings.xml"/><Relationship Id="rId9" Type="http://schemas.openxmlformats.org/officeDocument/2006/relationships/hyperlink" Target="http://www.canberra.com/products/detectors/pdf/SEGe-detectors-C4002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1D19B8-A849-4E9C-9782-459A2CEF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14</Pages>
  <Words>6324</Words>
  <Characters>36047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416</cp:revision>
  <cp:lastPrinted>2016-04-22T10:04:00Z</cp:lastPrinted>
  <dcterms:created xsi:type="dcterms:W3CDTF">2016-02-29T14:14:00Z</dcterms:created>
  <dcterms:modified xsi:type="dcterms:W3CDTF">2016-05-03T21:11:00Z</dcterms:modified>
</cp:coreProperties>
</file>