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9D83" w14:textId="794EF4FC" w:rsidR="00EE067F" w:rsidRDefault="00A365DE" w:rsidP="00A365DE">
      <w:pPr>
        <w:pStyle w:val="Heading1"/>
      </w:pPr>
      <w:r>
        <w:t>Creating the meta datasets</w:t>
      </w:r>
    </w:p>
    <w:p w14:paraId="1BED1438" w14:textId="47EA745A" w:rsidR="00A365DE" w:rsidRDefault="00A365DE" w:rsidP="00A365DE">
      <w:r>
        <w:t xml:space="preserve">In the creating the meta datasets folders, there are 5 R scripts; 4 that create a meta dataset for each </w:t>
      </w:r>
      <w:r w:rsidR="00A54F6A">
        <w:t xml:space="preserve">waste stream individually and 1 that just combines these into one large dataset. </w:t>
      </w:r>
      <w:r w:rsidR="00522B30">
        <w:t xml:space="preserve">Each dataset is written to a csv file in the folder. Each row represents a country-waste stream, </w:t>
      </w:r>
      <w:r w:rsidR="008A2583">
        <w:t>and below is the information that is stored/calculated</w:t>
      </w:r>
      <w:r w:rsidR="004E01AB">
        <w:t xml:space="preserve"> with reasoning for their calculation</w:t>
      </w:r>
      <w:r w:rsidR="006C493C">
        <w:t>. Note these quantities are calculated based on 2018-2022 being the test set, and 2023 being the first value forecast</w:t>
      </w:r>
      <w:r w:rsidR="00770912">
        <w:t xml:space="preserve"> (</w:t>
      </w:r>
      <w:r w:rsidR="003E4205">
        <w:t>as done for rest of the work</w:t>
      </w:r>
      <w:r w:rsidR="00770912">
        <w:t>)</w:t>
      </w:r>
      <w:r w:rsidR="006C493C">
        <w:t>.</w:t>
      </w:r>
    </w:p>
    <w:p w14:paraId="7F8E95C6" w14:textId="00A2DA53" w:rsidR="008A2583" w:rsidRDefault="008A2583" w:rsidP="008A2583">
      <w:pPr>
        <w:pStyle w:val="ListParagraph"/>
        <w:numPr>
          <w:ilvl w:val="0"/>
          <w:numId w:val="1"/>
        </w:numPr>
      </w:pPr>
      <w:r w:rsidRPr="00911D52">
        <w:rPr>
          <w:b/>
          <w:bCs/>
        </w:rPr>
        <w:t>Country</w:t>
      </w:r>
      <w:r>
        <w:t xml:space="preserve"> </w:t>
      </w:r>
      <w:r w:rsidR="004E01AB">
        <w:t>– identifying what the observation corresponds to</w:t>
      </w:r>
    </w:p>
    <w:p w14:paraId="0448C160" w14:textId="31DB970A" w:rsidR="008A2583" w:rsidRDefault="008A2583" w:rsidP="008A2583">
      <w:pPr>
        <w:pStyle w:val="ListParagraph"/>
        <w:numPr>
          <w:ilvl w:val="0"/>
          <w:numId w:val="1"/>
        </w:numPr>
      </w:pPr>
      <w:r w:rsidRPr="00911D52">
        <w:rPr>
          <w:b/>
          <w:bCs/>
        </w:rPr>
        <w:t>Optimal model</w:t>
      </w:r>
      <w:r w:rsidR="004E01AB">
        <w:t xml:space="preserve"> – identifying what the observation corresponds to</w:t>
      </w:r>
    </w:p>
    <w:p w14:paraId="65CE9E18" w14:textId="6DC35D6A" w:rsidR="00911D52" w:rsidRPr="00911D52" w:rsidRDefault="00911D52" w:rsidP="00911D52">
      <w:pPr>
        <w:pStyle w:val="ListParagraph"/>
        <w:numPr>
          <w:ilvl w:val="0"/>
          <w:numId w:val="1"/>
        </w:numPr>
        <w:rPr>
          <w:b/>
          <w:bCs/>
        </w:rPr>
      </w:pPr>
      <w:r w:rsidRPr="00911D52">
        <w:rPr>
          <w:b/>
          <w:bCs/>
        </w:rPr>
        <w:t>2023 forecast error (signed, so can be minus)</w:t>
      </w:r>
      <w:r>
        <w:t xml:space="preserve"> </w:t>
      </w:r>
      <w:r w:rsidR="008929FB">
        <w:t>–</w:t>
      </w:r>
      <w:r>
        <w:t xml:space="preserve"> </w:t>
      </w:r>
      <w:r w:rsidR="008929FB">
        <w:t>for colouring PCA plot</w:t>
      </w:r>
    </w:p>
    <w:p w14:paraId="4293E3F2" w14:textId="2B80D44A" w:rsidR="00911D52" w:rsidRPr="00911D52" w:rsidRDefault="00911D52" w:rsidP="00911D52">
      <w:pPr>
        <w:pStyle w:val="ListParagraph"/>
        <w:numPr>
          <w:ilvl w:val="0"/>
          <w:numId w:val="1"/>
        </w:numPr>
        <w:rPr>
          <w:b/>
          <w:bCs/>
        </w:rPr>
      </w:pPr>
      <w:r w:rsidRPr="00911D52">
        <w:rPr>
          <w:b/>
          <w:bCs/>
        </w:rPr>
        <w:t>2023 forecast error (absolute value)</w:t>
      </w:r>
      <w:r w:rsidR="008929FB">
        <w:t xml:space="preserve"> – for colouring PCA plot</w:t>
      </w:r>
    </w:p>
    <w:p w14:paraId="3BC092DB" w14:textId="0116150F" w:rsidR="00911D52" w:rsidRPr="00911D52" w:rsidRDefault="00911D52" w:rsidP="00911D52">
      <w:pPr>
        <w:pStyle w:val="ListParagraph"/>
        <w:numPr>
          <w:ilvl w:val="0"/>
          <w:numId w:val="1"/>
        </w:numPr>
        <w:rPr>
          <w:b/>
          <w:bCs/>
        </w:rPr>
      </w:pPr>
      <w:r w:rsidRPr="00911D52">
        <w:rPr>
          <w:b/>
          <w:bCs/>
        </w:rPr>
        <w:t xml:space="preserve">PI width at </w:t>
      </w:r>
      <w:r w:rsidR="00DD7D26" w:rsidRPr="00911D52">
        <w:rPr>
          <w:b/>
          <w:bCs/>
        </w:rPr>
        <w:t>2023</w:t>
      </w:r>
      <w:r w:rsidR="00DD7D26">
        <w:t xml:space="preserve"> –</w:t>
      </w:r>
      <w:r w:rsidR="008929FB">
        <w:t xml:space="preserve"> for colouring PCA plot</w:t>
      </w:r>
    </w:p>
    <w:p w14:paraId="3587F179" w14:textId="2E5A7EF3" w:rsidR="008A2583" w:rsidRDefault="008A2583" w:rsidP="008A2583">
      <w:pPr>
        <w:pStyle w:val="ListParagraph"/>
        <w:numPr>
          <w:ilvl w:val="0"/>
          <w:numId w:val="1"/>
        </w:numPr>
      </w:pPr>
      <w:r w:rsidRPr="00911D52">
        <w:rPr>
          <w:b/>
          <w:bCs/>
        </w:rPr>
        <w:t xml:space="preserve">Number of covariates </w:t>
      </w:r>
      <w:r w:rsidR="002307D7" w:rsidRPr="00911D52">
        <w:rPr>
          <w:b/>
          <w:bCs/>
        </w:rPr>
        <w:t>taken</w:t>
      </w:r>
      <w:r w:rsidR="004E01AB">
        <w:t xml:space="preserve"> </w:t>
      </w:r>
      <w:r w:rsidR="00911D52">
        <w:t>–</w:t>
      </w:r>
      <w:r w:rsidR="004E01AB">
        <w:t xml:space="preserve"> </w:t>
      </w:r>
      <w:r w:rsidR="00911D52">
        <w:t>related to complexity of the model</w:t>
      </w:r>
    </w:p>
    <w:p w14:paraId="28749F8B" w14:textId="443EA9A4" w:rsidR="006C493C" w:rsidRDefault="004D21DC" w:rsidP="008A2583">
      <w:pPr>
        <w:pStyle w:val="ListParagraph"/>
        <w:numPr>
          <w:ilvl w:val="0"/>
          <w:numId w:val="1"/>
        </w:numPr>
      </w:pPr>
      <w:r w:rsidRPr="00EA5AE1">
        <w:rPr>
          <w:b/>
          <w:bCs/>
        </w:rPr>
        <w:t>Training set standard deviation</w:t>
      </w:r>
      <w:r w:rsidR="008929FB">
        <w:t xml:space="preserve"> – representing the noise of the data</w:t>
      </w:r>
      <w:r w:rsidR="003E4205">
        <w:t xml:space="preserve"> trained on</w:t>
      </w:r>
    </w:p>
    <w:p w14:paraId="67C4512A" w14:textId="5AFAA506" w:rsidR="004D21DC" w:rsidRDefault="004D21DC" w:rsidP="008A2583">
      <w:pPr>
        <w:pStyle w:val="ListParagraph"/>
        <w:numPr>
          <w:ilvl w:val="0"/>
          <w:numId w:val="1"/>
        </w:numPr>
      </w:pPr>
      <w:r w:rsidRPr="00EA5AE1">
        <w:rPr>
          <w:b/>
          <w:bCs/>
        </w:rPr>
        <w:t>Test set standard deviation</w:t>
      </w:r>
      <w:r w:rsidR="008929FB">
        <w:t>– representing the noise of the data</w:t>
      </w:r>
      <w:r w:rsidR="003E4205">
        <w:t xml:space="preserve"> tested on</w:t>
      </w:r>
    </w:p>
    <w:p w14:paraId="58445622" w14:textId="42F643B5" w:rsidR="004D21DC" w:rsidRDefault="004D21DC" w:rsidP="008A2583">
      <w:pPr>
        <w:pStyle w:val="ListParagraph"/>
        <w:numPr>
          <w:ilvl w:val="0"/>
          <w:numId w:val="1"/>
        </w:numPr>
      </w:pPr>
      <w:r w:rsidRPr="00EA5AE1">
        <w:rPr>
          <w:b/>
          <w:bCs/>
        </w:rPr>
        <w:t>Ratio of the test to training standard deviation (test/training)</w:t>
      </w:r>
      <w:r w:rsidR="008929FB">
        <w:t xml:space="preserve"> – representing the noise of the data</w:t>
      </w:r>
      <w:r w:rsidR="003E4205">
        <w:t xml:space="preserve"> / if the noise is consistent across training and test</w:t>
      </w:r>
    </w:p>
    <w:p w14:paraId="671966AF" w14:textId="26DE44B3" w:rsidR="004D21DC" w:rsidRDefault="00784B31" w:rsidP="008A2583">
      <w:pPr>
        <w:pStyle w:val="ListParagraph"/>
        <w:numPr>
          <w:ilvl w:val="0"/>
          <w:numId w:val="1"/>
        </w:numPr>
      </w:pPr>
      <w:r w:rsidRPr="00EA5AE1">
        <w:rPr>
          <w:b/>
          <w:bCs/>
        </w:rPr>
        <w:t>Slope of the full dataset</w:t>
      </w:r>
      <w:r w:rsidR="008929FB">
        <w:t xml:space="preserve"> </w:t>
      </w:r>
      <w:r w:rsidR="0077272C">
        <w:t>–</w:t>
      </w:r>
      <w:r w:rsidR="008929FB">
        <w:t xml:space="preserve"> </w:t>
      </w:r>
      <w:r w:rsidR="0077272C">
        <w:t>identifier of trend</w:t>
      </w:r>
    </w:p>
    <w:p w14:paraId="6C6B26BA" w14:textId="77777777" w:rsidR="004D51EC" w:rsidRDefault="00784B31" w:rsidP="004D51EC">
      <w:pPr>
        <w:pStyle w:val="ListParagraph"/>
        <w:numPr>
          <w:ilvl w:val="0"/>
          <w:numId w:val="1"/>
        </w:numPr>
      </w:pPr>
      <w:r w:rsidRPr="00EA5AE1">
        <w:rPr>
          <w:b/>
          <w:bCs/>
        </w:rPr>
        <w:t>Slope of the training set</w:t>
      </w:r>
      <w:r w:rsidR="0077272C">
        <w:t xml:space="preserve"> – identifier of trend</w:t>
      </w:r>
    </w:p>
    <w:p w14:paraId="31EF2B3C" w14:textId="010696C1" w:rsidR="00784B31" w:rsidRDefault="00327FAA" w:rsidP="004D51EC">
      <w:pPr>
        <w:pStyle w:val="ListParagraph"/>
        <w:numPr>
          <w:ilvl w:val="0"/>
          <w:numId w:val="1"/>
        </w:numPr>
      </w:pPr>
      <w:r w:rsidRPr="004D51EC">
        <w:rPr>
          <w:b/>
          <w:bCs/>
        </w:rPr>
        <w:t>D</w:t>
      </w:r>
      <w:r w:rsidR="00784B31" w:rsidRPr="004D51EC">
        <w:rPr>
          <w:b/>
          <w:bCs/>
        </w:rPr>
        <w:t>ifference between slope of full dataset and training set</w:t>
      </w:r>
      <w:r w:rsidR="0077272C">
        <w:t xml:space="preserve"> – </w:t>
      </w:r>
      <w:r w:rsidR="003E4205">
        <w:t>is</w:t>
      </w:r>
      <w:r w:rsidR="0077272C">
        <w:t xml:space="preserve"> the trend of the training set ‘misleading’ (does it change in the test)</w:t>
      </w:r>
    </w:p>
    <w:p w14:paraId="26FBA584" w14:textId="0FC51556" w:rsidR="00784B31" w:rsidRDefault="009216DD" w:rsidP="008A2583">
      <w:pPr>
        <w:pStyle w:val="ListParagraph"/>
        <w:numPr>
          <w:ilvl w:val="0"/>
          <w:numId w:val="1"/>
        </w:numPr>
      </w:pPr>
      <w:r w:rsidRPr="00EA5AE1">
        <w:rPr>
          <w:b/>
          <w:bCs/>
        </w:rPr>
        <w:t xml:space="preserve">Binary indicator </w:t>
      </w:r>
      <w:r w:rsidR="00EA5AE1" w:rsidRPr="00EA5AE1">
        <w:rPr>
          <w:b/>
          <w:bCs/>
        </w:rPr>
        <w:t>of sign change between full and training slopes</w:t>
      </w:r>
      <w:r w:rsidR="00EA5AE1">
        <w:t xml:space="preserve"> – not used in PCA, calculated as</w:t>
      </w:r>
      <w:r w:rsidR="003E4205">
        <w:t xml:space="preserve"> it was</w:t>
      </w:r>
      <w:r w:rsidR="00EA5AE1">
        <w:t xml:space="preserve"> easy to do</w:t>
      </w:r>
    </w:p>
    <w:p w14:paraId="56F2A1C6" w14:textId="3EB190A4" w:rsidR="002307D7" w:rsidRDefault="00327FAA" w:rsidP="008A2583">
      <w:pPr>
        <w:pStyle w:val="ListParagraph"/>
        <w:numPr>
          <w:ilvl w:val="0"/>
          <w:numId w:val="1"/>
        </w:numPr>
      </w:pPr>
      <w:r>
        <w:rPr>
          <w:b/>
          <w:bCs/>
        </w:rPr>
        <w:t>M</w:t>
      </w:r>
      <w:r w:rsidR="002307D7" w:rsidRPr="00EA5AE1">
        <w:rPr>
          <w:b/>
          <w:bCs/>
        </w:rPr>
        <w:t>aximum absolute change in the whole series (jump/drop from t to t+1)</w:t>
      </w:r>
      <w:r w:rsidR="00EA5AE1">
        <w:t xml:space="preserve"> – identifies</w:t>
      </w:r>
      <w:r w:rsidR="003E4205">
        <w:t xml:space="preserve"> instability</w:t>
      </w:r>
      <w:r w:rsidR="00EA5AE1">
        <w:t xml:space="preserve"> in the data</w:t>
      </w:r>
    </w:p>
    <w:p w14:paraId="14FD994E" w14:textId="5F10F051" w:rsidR="002307D7" w:rsidRDefault="00327FAA" w:rsidP="008A2583">
      <w:pPr>
        <w:pStyle w:val="ListParagraph"/>
        <w:numPr>
          <w:ilvl w:val="0"/>
          <w:numId w:val="1"/>
        </w:numPr>
      </w:pPr>
      <w:r>
        <w:rPr>
          <w:b/>
          <w:bCs/>
        </w:rPr>
        <w:t>M</w:t>
      </w:r>
      <w:r w:rsidR="002307D7" w:rsidRPr="00EA5AE1">
        <w:rPr>
          <w:b/>
          <w:bCs/>
        </w:rPr>
        <w:t>ean absolute change in the whole series (jump</w:t>
      </w:r>
      <w:r w:rsidR="003E4205">
        <w:rPr>
          <w:b/>
          <w:bCs/>
        </w:rPr>
        <w:t>/drop</w:t>
      </w:r>
      <w:r w:rsidR="002307D7" w:rsidRPr="00EA5AE1">
        <w:rPr>
          <w:b/>
          <w:bCs/>
        </w:rPr>
        <w:t xml:space="preserve"> from t to t+1)</w:t>
      </w:r>
      <w:r w:rsidR="00EA5AE1">
        <w:t xml:space="preserve"> – identifies </w:t>
      </w:r>
      <w:r w:rsidR="003E4205">
        <w:t>instability</w:t>
      </w:r>
      <w:r w:rsidR="00EA5AE1">
        <w:t xml:space="preserve"> in the data</w:t>
      </w:r>
    </w:p>
    <w:p w14:paraId="16CD2F9A" w14:textId="77777777" w:rsidR="00111897" w:rsidRDefault="00111897" w:rsidP="00111897"/>
    <w:p w14:paraId="5F9A0B9B" w14:textId="7DD5E17B" w:rsidR="00111897" w:rsidRDefault="000162A6" w:rsidP="000162A6">
      <w:pPr>
        <w:pStyle w:val="Heading1"/>
      </w:pPr>
      <w:r>
        <w:t>Meta Modelling</w:t>
      </w:r>
    </w:p>
    <w:p w14:paraId="245943C4" w14:textId="3542D4D8" w:rsidR="00107B48" w:rsidRDefault="000162A6" w:rsidP="000162A6">
      <w:r>
        <w:t xml:space="preserve">Here, we perform PCA. The </w:t>
      </w:r>
      <w:r w:rsidR="007411B7">
        <w:t xml:space="preserve">number of covariates, training </w:t>
      </w:r>
      <w:proofErr w:type="spellStart"/>
      <w:r w:rsidR="007411B7">
        <w:t>sd</w:t>
      </w:r>
      <w:proofErr w:type="spellEnd"/>
      <w:r w:rsidR="007411B7">
        <w:t xml:space="preserve">, test </w:t>
      </w:r>
      <w:proofErr w:type="spellStart"/>
      <w:r w:rsidR="007411B7">
        <w:t>sd</w:t>
      </w:r>
      <w:proofErr w:type="spellEnd"/>
      <w:r w:rsidR="007411B7">
        <w:t xml:space="preserve">, </w:t>
      </w:r>
      <w:proofErr w:type="spellStart"/>
      <w:r w:rsidR="007411B7">
        <w:t>sd</w:t>
      </w:r>
      <w:proofErr w:type="spellEnd"/>
      <w:r w:rsidR="007411B7">
        <w:t xml:space="preserve"> ratio, full slope, training slope, difference in slope, max absolute change and mean absolute change are used to </w:t>
      </w:r>
      <w:r w:rsidR="00751F3D">
        <w:t>calculate</w:t>
      </w:r>
      <w:r w:rsidR="007411B7">
        <w:t xml:space="preserve"> the </w:t>
      </w:r>
      <w:r w:rsidR="00751F3D">
        <w:t>PCs. The data is scaled and centred prior to this (best practice</w:t>
      </w:r>
      <w:r w:rsidR="00DE63B5">
        <w:t>, done within PCA call</w:t>
      </w:r>
      <w:r w:rsidR="00FA0E3D">
        <w:t>, gotten from lecture notes</w:t>
      </w:r>
      <w:r w:rsidR="00751F3D">
        <w:t xml:space="preserve">). Then, the first </w:t>
      </w:r>
      <w:r w:rsidR="00231BBB">
        <w:t>2 PC scores of the meta dataset are calculated</w:t>
      </w:r>
      <w:r w:rsidR="00FA0E3D">
        <w:t>. T</w:t>
      </w:r>
      <w:r w:rsidR="00231BBB">
        <w:t xml:space="preserve">he PC1 and PC2 scores are plotted against </w:t>
      </w:r>
      <w:r w:rsidR="007F08A5">
        <w:t>each other</w:t>
      </w:r>
      <w:r w:rsidR="00231BBB">
        <w:t xml:space="preserve"> </w:t>
      </w:r>
      <w:r w:rsidR="00126C88">
        <w:t>to identify clusters. The PI width is used to colour them.</w:t>
      </w:r>
      <w:r w:rsidR="00FA0E3D">
        <w:t xml:space="preserve"> Shapes are included to identify </w:t>
      </w:r>
      <w:r w:rsidR="00FA0E3D">
        <w:lastRenderedPageBreak/>
        <w:t xml:space="preserve">what waste stream </w:t>
      </w:r>
      <w:r w:rsidR="00107B48">
        <w:t>each dot is (not sure if this is too much). The country labels are also printed.</w:t>
      </w:r>
    </w:p>
    <w:p w14:paraId="5CE72E71" w14:textId="42AA8FBE" w:rsidR="00EE645D" w:rsidRDefault="007F08A5" w:rsidP="000162A6">
      <w:r>
        <w:t xml:space="preserve"> </w:t>
      </w:r>
      <w:r w:rsidR="00EE645D" w:rsidRPr="00EE645D">
        <w:t>The first two principal components explain approximately 69% of cumulative variance, providing an adequate low-dimensional representation of the predictor space for exploratory purposes.</w:t>
      </w:r>
    </w:p>
    <w:p w14:paraId="20346D35" w14:textId="3E59EECE" w:rsidR="00AD6BC8" w:rsidRPr="00AD6BC8" w:rsidRDefault="00AD6BC8" w:rsidP="00AD6BC8">
      <w:r w:rsidRPr="00AD6BC8">
        <w:t xml:space="preserve">The PC1 loadings </w:t>
      </w:r>
      <w:r w:rsidR="00107B48">
        <w:t xml:space="preserve">can be interpreted as series </w:t>
      </w:r>
      <w:proofErr w:type="spellStart"/>
      <w:r w:rsidR="00107B48">
        <w:t>instabilty</w:t>
      </w:r>
      <w:proofErr w:type="spellEnd"/>
      <w:r w:rsidRPr="00AD6BC8">
        <w:t>. The</w:t>
      </w:r>
      <w:r w:rsidR="00107B48">
        <w:t xml:space="preserve"> strongest positive</w:t>
      </w:r>
      <w:r w:rsidRPr="00AD6BC8">
        <w:t xml:space="preserve"> variable loading</w:t>
      </w:r>
      <w:r w:rsidR="00107B48">
        <w:t>s in</w:t>
      </w:r>
      <w:r w:rsidRPr="00AD6BC8">
        <w:t xml:space="preserve"> PC1 are </w:t>
      </w:r>
      <w:proofErr w:type="spellStart"/>
      <w:r w:rsidRPr="00AD6BC8">
        <w:t>train_sd</w:t>
      </w:r>
      <w:proofErr w:type="spellEnd"/>
      <w:r w:rsidRPr="00AD6BC8">
        <w:t xml:space="preserve"> (0.480), </w:t>
      </w:r>
      <w:proofErr w:type="spellStart"/>
      <w:r w:rsidRPr="00AD6BC8">
        <w:t>slope_full</w:t>
      </w:r>
      <w:proofErr w:type="spellEnd"/>
      <w:r w:rsidRPr="00AD6BC8">
        <w:t xml:space="preserve"> (0.367), </w:t>
      </w:r>
      <w:proofErr w:type="spellStart"/>
      <w:r w:rsidRPr="00AD6BC8">
        <w:t>slope_train</w:t>
      </w:r>
      <w:proofErr w:type="spellEnd"/>
      <w:r w:rsidRPr="00AD6BC8">
        <w:t xml:space="preserve"> (0.431), and </w:t>
      </w:r>
      <w:proofErr w:type="spellStart"/>
      <w:r w:rsidRPr="00AD6BC8">
        <w:t>mean_abs_change</w:t>
      </w:r>
      <w:proofErr w:type="spellEnd"/>
      <w:r w:rsidRPr="00AD6BC8">
        <w:t xml:space="preserve"> (0.315), indicating high PC1 scores are associated with series that are historically volatile, strongly trending, and characterised by large average year-on-year movements. The </w:t>
      </w:r>
      <w:proofErr w:type="spellStart"/>
      <w:r w:rsidRPr="00AD6BC8">
        <w:t>slope_diff</w:t>
      </w:r>
      <w:proofErr w:type="spellEnd"/>
      <w:r w:rsidRPr="00AD6BC8">
        <w:t xml:space="preserve"> loading (-0.416) is negative and moderately strong, suggesting that cases with high PC1 scores also tend to show a reduction in trend between the training period and the full series</w:t>
      </w:r>
      <w:r w:rsidR="00075FDE">
        <w:t>,</w:t>
      </w:r>
      <w:r w:rsidRPr="00AD6BC8">
        <w:t xml:space="preserve"> consistent with series that were trending during </w:t>
      </w:r>
      <w:proofErr w:type="gramStart"/>
      <w:r w:rsidRPr="00AD6BC8">
        <w:t>training</w:t>
      </w:r>
      <w:proofErr w:type="gramEnd"/>
      <w:r w:rsidRPr="00AD6BC8">
        <w:t xml:space="preserve"> but whose trajectory changed near the forecast horizon.</w:t>
      </w:r>
    </w:p>
    <w:p w14:paraId="164E3F4E" w14:textId="599277D2" w:rsidR="00AD6BC8" w:rsidRPr="00AD6BC8" w:rsidRDefault="00AD6BC8" w:rsidP="00AD6BC8">
      <w:r w:rsidRPr="00AD6BC8">
        <w:t xml:space="preserve">PC2 is less </w:t>
      </w:r>
      <w:r w:rsidR="00094487">
        <w:t>easily</w:t>
      </w:r>
      <w:r w:rsidRPr="00AD6BC8">
        <w:t xml:space="preserve"> interpretable. The strongest loadings are </w:t>
      </w:r>
      <w:proofErr w:type="spellStart"/>
      <w:r w:rsidRPr="00AD6BC8">
        <w:t>sd_ratio</w:t>
      </w:r>
      <w:proofErr w:type="spellEnd"/>
      <w:r w:rsidRPr="00AD6BC8">
        <w:t xml:space="preserve"> (0.431), </w:t>
      </w:r>
      <w:proofErr w:type="spellStart"/>
      <w:r w:rsidRPr="00AD6BC8">
        <w:t>test_sd</w:t>
      </w:r>
      <w:proofErr w:type="spellEnd"/>
      <w:r w:rsidRPr="00AD6BC8">
        <w:t xml:space="preserve"> (0.450), </w:t>
      </w:r>
      <w:proofErr w:type="spellStart"/>
      <w:r w:rsidRPr="00AD6BC8">
        <w:t>max_abs_change</w:t>
      </w:r>
      <w:proofErr w:type="spellEnd"/>
      <w:r w:rsidRPr="00AD6BC8">
        <w:t xml:space="preserve"> (0.448), and </w:t>
      </w:r>
      <w:proofErr w:type="spellStart"/>
      <w:r w:rsidRPr="00AD6BC8">
        <w:t>mean_abs_change</w:t>
      </w:r>
      <w:proofErr w:type="spellEnd"/>
      <w:r w:rsidRPr="00AD6BC8">
        <w:t xml:space="preserve"> (0.431), all positive, alongside negative loadings on </w:t>
      </w:r>
      <w:proofErr w:type="spellStart"/>
      <w:r w:rsidRPr="00AD6BC8">
        <w:t>slope_full</w:t>
      </w:r>
      <w:proofErr w:type="spellEnd"/>
      <w:r w:rsidRPr="00AD6BC8">
        <w:t xml:space="preserve"> (-0.342) and </w:t>
      </w:r>
      <w:proofErr w:type="spellStart"/>
      <w:r w:rsidRPr="00AD6BC8">
        <w:t>slope_train</w:t>
      </w:r>
      <w:proofErr w:type="spellEnd"/>
      <w:r w:rsidRPr="00AD6BC8">
        <w:t xml:space="preserve"> (-0.257). PC2 therefore appears to capture cases where the test period is relatively more volatile than training, with large episodic jumps, but without a strong underlying trend. This may correspond to structurally unstable series that are noisy rather than</w:t>
      </w:r>
      <w:r w:rsidR="00C05338">
        <w:t xml:space="preserve"> </w:t>
      </w:r>
      <w:r w:rsidRPr="00AD6BC8">
        <w:t>trending.</w:t>
      </w:r>
    </w:p>
    <w:p w14:paraId="1B8E3414" w14:textId="2EAC9127" w:rsidR="00AD6BC8" w:rsidRDefault="00301535" w:rsidP="000162A6">
      <w:r>
        <w:rPr>
          <w:noProof/>
        </w:rPr>
        <w:drawing>
          <wp:anchor distT="0" distB="0" distL="114300" distR="114300" simplePos="0" relativeHeight="251658240" behindDoc="0" locked="0" layoutInCell="1" allowOverlap="1" wp14:anchorId="0ABC5213" wp14:editId="73DEA4E9">
            <wp:simplePos x="0" y="0"/>
            <wp:positionH relativeFrom="column">
              <wp:posOffset>-239395</wp:posOffset>
            </wp:positionH>
            <wp:positionV relativeFrom="paragraph">
              <wp:posOffset>117573</wp:posOffset>
            </wp:positionV>
            <wp:extent cx="6429209" cy="3346938"/>
            <wp:effectExtent l="0" t="0" r="0" b="6350"/>
            <wp:wrapSquare wrapText="bothSides"/>
            <wp:docPr id="338085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209" cy="3346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66E0747" w14:textId="20019E40" w:rsidR="00301535" w:rsidRPr="00301535" w:rsidRDefault="00301535" w:rsidP="00301535">
      <w:r w:rsidRPr="00301535">
        <w:t xml:space="preserve">Most country-stream combinations cluster densely in the left-hand portion of the plot, characterised by low PC1 scores and consistently narrow prediction intervals as </w:t>
      </w:r>
      <w:r w:rsidRPr="00301535">
        <w:lastRenderedPageBreak/>
        <w:t>indicated by the yellow colouring. The shape</w:t>
      </w:r>
      <w:r w:rsidR="00C05338">
        <w:t xml:space="preserve">s </w:t>
      </w:r>
      <w:r w:rsidRPr="00301535">
        <w:t>reveal that this left cluster is dominated by glass circles and plastic diamonds, confirming that these streams exhibit relatively stable historical trajectories.</w:t>
      </w:r>
    </w:p>
    <w:p w14:paraId="261A1080" w14:textId="22CCC9E2" w:rsidR="00301535" w:rsidRPr="00301535" w:rsidRDefault="00301535" w:rsidP="00301535">
      <w:r w:rsidRPr="00301535">
        <w:t>Moving rightward along</w:t>
      </w:r>
      <w:r w:rsidR="00456FFE">
        <w:t xml:space="preserve"> the </w:t>
      </w:r>
      <w:r w:rsidRPr="00301535">
        <w:t>PC1</w:t>
      </w:r>
      <w:r w:rsidR="00456FFE">
        <w:t xml:space="preserve"> axis</w:t>
      </w:r>
      <w:r w:rsidRPr="00301535">
        <w:t>, prediction interval width increase</w:t>
      </w:r>
      <w:r w:rsidR="00456FFE">
        <w:t>s</w:t>
      </w:r>
      <w:r w:rsidRPr="00301535">
        <w:t xml:space="preserve">, with the darkest points </w:t>
      </w:r>
      <w:r w:rsidR="00456FFE">
        <w:t xml:space="preserve">generally </w:t>
      </w:r>
      <w:r w:rsidRPr="00301535">
        <w:t>concentrated on the right. The metallic</w:t>
      </w:r>
      <w:r w:rsidR="00456FFE">
        <w:t xml:space="preserve"> values</w:t>
      </w:r>
      <w:r w:rsidRPr="00301535">
        <w:t xml:space="preserve"> </w:t>
      </w:r>
      <w:r w:rsidR="00456FFE">
        <w:t>(</w:t>
      </w:r>
      <w:r w:rsidRPr="00301535">
        <w:t>triangles</w:t>
      </w:r>
      <w:r w:rsidR="00456FFE">
        <w:t>)</w:t>
      </w:r>
      <w:r w:rsidRPr="00301535">
        <w:t xml:space="preserve"> are notably dispersed</w:t>
      </w:r>
      <w:r w:rsidR="00456FFE">
        <w:t>. S</w:t>
      </w:r>
      <w:r w:rsidRPr="00301535">
        <w:t>everal sit in the right-hand portion of the plot with moderately wide PIs, consistent with the higher historical volatility observed in that stream in the visual narrative. The paper and cardboard squares show a similar pattern, with Denmark, Finland and Ireland paper and cardboard all sitting to the right with wider intervals.</w:t>
      </w:r>
      <w:r w:rsidR="00B83553">
        <w:t xml:space="preserve"> Given the interpretation of PC1, it seems that wider PIs correspond to </w:t>
      </w:r>
      <w:r w:rsidR="00DC16CB">
        <w:t>series that are more unstable (expected result).</w:t>
      </w:r>
    </w:p>
    <w:p w14:paraId="50F7D2F2" w14:textId="77777777" w:rsidR="00301535" w:rsidRDefault="00301535" w:rsidP="00301535">
      <w:r w:rsidRPr="00301535">
        <w:t xml:space="preserve">Denmark glass is the most extreme case in the entire dataset, sitting as a clear outlier in the top right corner, well separated from all other observations on both PC1 and PC2. This is consistent with its exceptionally high </w:t>
      </w:r>
      <w:proofErr w:type="spellStart"/>
      <w:r w:rsidRPr="00301535">
        <w:t>train_</w:t>
      </w:r>
      <w:proofErr w:type="gramStart"/>
      <w:r w:rsidRPr="00301535">
        <w:t>sd</w:t>
      </w:r>
      <w:proofErr w:type="spellEnd"/>
      <w:proofErr w:type="gramEnd"/>
      <w:r w:rsidRPr="00301535">
        <w:t xml:space="preserve"> and </w:t>
      </w:r>
      <w:proofErr w:type="spellStart"/>
      <w:r w:rsidRPr="00301535">
        <w:t>max_abs_change</w:t>
      </w:r>
      <w:proofErr w:type="spellEnd"/>
      <w:r w:rsidRPr="00301535">
        <w:t xml:space="preserve"> driven by the extreme values recorded in the 2009-2010 period. Portugal metallic and Austria metallic sit at PC1 approximately 2.5 with dark colouring, identifying them as high instability cases with wide PIs, consistent with the known 37-point forecast error for Portugal metallic.</w:t>
      </w:r>
    </w:p>
    <w:p w14:paraId="7EA9936C" w14:textId="0221661C" w:rsidR="004A1228" w:rsidRDefault="00425B5B" w:rsidP="000162A6">
      <w:r>
        <w:t>An important caveat should be noted.</w:t>
      </w:r>
      <w:r w:rsidR="00B30D6D" w:rsidRPr="00B30D6D">
        <w:t xml:space="preserve"> First, this analysis is explicitly exploratory and descriptive</w:t>
      </w:r>
      <w:r w:rsidR="00B30D6D">
        <w:t>. T</w:t>
      </w:r>
      <w:r w:rsidR="00B30D6D" w:rsidRPr="00B30D6D">
        <w:t>he patterns observed should be interpreted as suggestive rather than conclusive.</w:t>
      </w:r>
    </w:p>
    <w:p w14:paraId="449E81D9" w14:textId="3D2889AF" w:rsidR="006907DB" w:rsidRPr="000162A6" w:rsidRDefault="006907DB" w:rsidP="000162A6"/>
    <w:sectPr w:rsidR="006907DB" w:rsidRPr="00016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C1FB1"/>
    <w:multiLevelType w:val="hybridMultilevel"/>
    <w:tmpl w:val="19AC2B5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B4"/>
    <w:rsid w:val="000162A6"/>
    <w:rsid w:val="00016F64"/>
    <w:rsid w:val="00075FDE"/>
    <w:rsid w:val="00094487"/>
    <w:rsid w:val="00107B48"/>
    <w:rsid w:val="00111897"/>
    <w:rsid w:val="00115341"/>
    <w:rsid w:val="00126C88"/>
    <w:rsid w:val="00157D9C"/>
    <w:rsid w:val="002307D7"/>
    <w:rsid w:val="00231BBB"/>
    <w:rsid w:val="00301535"/>
    <w:rsid w:val="00327FAA"/>
    <w:rsid w:val="003E4205"/>
    <w:rsid w:val="003F47B4"/>
    <w:rsid w:val="00425B5B"/>
    <w:rsid w:val="00456FFE"/>
    <w:rsid w:val="004A1228"/>
    <w:rsid w:val="004D21DC"/>
    <w:rsid w:val="004D51EC"/>
    <w:rsid w:val="004D601D"/>
    <w:rsid w:val="004E01AB"/>
    <w:rsid w:val="004E2850"/>
    <w:rsid w:val="00522B30"/>
    <w:rsid w:val="00604315"/>
    <w:rsid w:val="006907DB"/>
    <w:rsid w:val="006C493C"/>
    <w:rsid w:val="006F1F60"/>
    <w:rsid w:val="007411B7"/>
    <w:rsid w:val="00751F3D"/>
    <w:rsid w:val="00770912"/>
    <w:rsid w:val="0077272C"/>
    <w:rsid w:val="00784B31"/>
    <w:rsid w:val="007F08A5"/>
    <w:rsid w:val="0082452A"/>
    <w:rsid w:val="00844C85"/>
    <w:rsid w:val="008929FB"/>
    <w:rsid w:val="008A2583"/>
    <w:rsid w:val="00911D52"/>
    <w:rsid w:val="009216DD"/>
    <w:rsid w:val="00A365DE"/>
    <w:rsid w:val="00A54F6A"/>
    <w:rsid w:val="00AD6BC8"/>
    <w:rsid w:val="00B30D6D"/>
    <w:rsid w:val="00B83553"/>
    <w:rsid w:val="00C05338"/>
    <w:rsid w:val="00D15120"/>
    <w:rsid w:val="00D425C6"/>
    <w:rsid w:val="00DA27A9"/>
    <w:rsid w:val="00DC16CB"/>
    <w:rsid w:val="00DD7D26"/>
    <w:rsid w:val="00DE63B5"/>
    <w:rsid w:val="00EA5AE1"/>
    <w:rsid w:val="00ED7352"/>
    <w:rsid w:val="00EE067F"/>
    <w:rsid w:val="00EE645D"/>
    <w:rsid w:val="00FA0E3D"/>
    <w:rsid w:val="00FB7C40"/>
    <w:rsid w:val="00FE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1F6E"/>
  <w15:chartTrackingRefBased/>
  <w15:docId w15:val="{337BD979-8B24-41AF-91C2-B51A629A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084b924-3ab4-4116-9251-9939f695e54c}" enabled="0" method="" siteId="{0084b924-3ab4-4116-9251-9939f695e5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ULPG:Mullane.Paul</dc:creator>
  <cp:keywords/>
  <dc:description/>
  <cp:lastModifiedBy>ULPG:Mullane.Paul</cp:lastModifiedBy>
  <cp:revision>53</cp:revision>
  <dcterms:created xsi:type="dcterms:W3CDTF">2026-06-10T14:17:00Z</dcterms:created>
  <dcterms:modified xsi:type="dcterms:W3CDTF">2026-06-15T11:54:00Z</dcterms:modified>
</cp:coreProperties>
</file>