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76016" w14:textId="655BB826" w:rsidR="0030417A" w:rsidRDefault="00026A80">
      <w:pPr>
        <w:rPr>
          <w:b/>
          <w:bCs/>
          <w:sz w:val="40"/>
          <w:szCs w:val="40"/>
        </w:rPr>
      </w:pPr>
      <w:r w:rsidRPr="00026A80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3456B6D3" wp14:editId="08571078">
            <wp:simplePos x="0" y="0"/>
            <wp:positionH relativeFrom="column">
              <wp:posOffset>-66183</wp:posOffset>
            </wp:positionH>
            <wp:positionV relativeFrom="paragraph">
              <wp:posOffset>504911</wp:posOffset>
            </wp:positionV>
            <wp:extent cx="5257165" cy="7014845"/>
            <wp:effectExtent l="0" t="0" r="635" b="0"/>
            <wp:wrapSquare wrapText="bothSides"/>
            <wp:docPr id="49672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260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701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17A" w:rsidRPr="00273AF7">
        <w:rPr>
          <w:b/>
          <w:bCs/>
          <w:sz w:val="40"/>
          <w:szCs w:val="40"/>
        </w:rPr>
        <w:t>Glass Packaging</w:t>
      </w:r>
    </w:p>
    <w:p w14:paraId="54DEA2A4" w14:textId="77777777" w:rsidR="00EB20EE" w:rsidRDefault="00EB20EE">
      <w:pPr>
        <w:rPr>
          <w:b/>
          <w:bCs/>
          <w:sz w:val="40"/>
          <w:szCs w:val="40"/>
        </w:rPr>
      </w:pPr>
    </w:p>
    <w:p w14:paraId="08252731" w14:textId="77777777" w:rsidR="00EB20EE" w:rsidRDefault="00EB20EE">
      <w:pPr>
        <w:rPr>
          <w:b/>
          <w:bCs/>
          <w:sz w:val="40"/>
          <w:szCs w:val="40"/>
        </w:rPr>
      </w:pPr>
    </w:p>
    <w:p w14:paraId="66090108" w14:textId="0BD20360" w:rsidR="00EB20EE" w:rsidRPr="00273AF7" w:rsidRDefault="00EB20E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D83466" wp14:editId="7AC9022A">
                <wp:simplePos x="0" y="0"/>
                <wp:positionH relativeFrom="column">
                  <wp:posOffset>2975610</wp:posOffset>
                </wp:positionH>
                <wp:positionV relativeFrom="paragraph">
                  <wp:posOffset>5156128</wp:posOffset>
                </wp:positionV>
                <wp:extent cx="1846053" cy="897147"/>
                <wp:effectExtent l="0" t="0" r="20955" b="17780"/>
                <wp:wrapNone/>
                <wp:docPr id="12746325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053" cy="8971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8BB83" w14:textId="2DE6DC99" w:rsidR="00EB20EE" w:rsidRPr="00EB20EE" w:rsidRDefault="00EB20EE" w:rsidP="00EB20E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20EE">
                              <w:rPr>
                                <w:sz w:val="22"/>
                                <w:szCs w:val="22"/>
                              </w:rPr>
                              <w:t>Black line – series</w:t>
                            </w:r>
                          </w:p>
                          <w:p w14:paraId="13FEADE1" w14:textId="0C650457" w:rsidR="00EB20EE" w:rsidRDefault="00EB20EE" w:rsidP="00EB20E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B20EE">
                              <w:rPr>
                                <w:sz w:val="22"/>
                                <w:szCs w:val="22"/>
                              </w:rPr>
                              <w:t>Red triangle – 2023 value</w:t>
                            </w:r>
                          </w:p>
                          <w:p w14:paraId="1117C02A" w14:textId="2BB24B5E" w:rsidR="00EB20EE" w:rsidRPr="00EB20EE" w:rsidRDefault="00AD4AF2" w:rsidP="00EB20E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Blue line – forecast with 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83466" id="Rectangle 1" o:spid="_x0000_s1026" style="position:absolute;margin-left:234.3pt;margin-top:406pt;width:145.35pt;height:70.6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" fillcolor="black [3200]" strokecolor="black [480]" strokeweight="1pt">
                <v:textbox>
                  <w:txbxContent>
                    <w:p w14:paraId="74F8BB83" w14:textId="2DE6DC99" w:rsidR="00EB20EE" w:rsidRPr="00EB20EE" w:rsidRDefault="00EB20EE" w:rsidP="00EB20E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EB20EE">
                        <w:rPr>
                          <w:sz w:val="22"/>
                          <w:szCs w:val="22"/>
                        </w:rPr>
                        <w:t>Black line – series</w:t>
                      </w:r>
                    </w:p>
                    <w:p w14:paraId="13FEADE1" w14:textId="0C650457" w:rsidR="00EB20EE" w:rsidRDefault="00EB20EE" w:rsidP="00EB20E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EB20EE">
                        <w:rPr>
                          <w:sz w:val="22"/>
                          <w:szCs w:val="22"/>
                        </w:rPr>
                        <w:t>Red triangle – 2023 value</w:t>
                      </w:r>
                    </w:p>
                    <w:p w14:paraId="1117C02A" w14:textId="2BB24B5E" w:rsidR="00EB20EE" w:rsidRPr="00EB20EE" w:rsidRDefault="00AD4AF2" w:rsidP="00EB20E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Blue line – forecast with PI</w:t>
                      </w:r>
                    </w:p>
                  </w:txbxContent>
                </v:textbox>
              </v:rect>
            </w:pict>
          </mc:Fallback>
        </mc:AlternateContent>
      </w:r>
    </w:p>
    <w:p w14:paraId="4AA99BD2" w14:textId="19F55D56" w:rsidR="00BC0340" w:rsidRPr="00B26C71" w:rsidRDefault="00BC0340" w:rsidP="00BC0340">
      <w:r w:rsidRPr="00B26C71">
        <w:t xml:space="preserve">Performance across glass is generally strong, with the 2023 observed value falling within the 95% PI for </w:t>
      </w:r>
      <w:r w:rsidR="00F129FF" w:rsidRPr="00B26C71">
        <w:t>most</w:t>
      </w:r>
      <w:r w:rsidRPr="00B26C71">
        <w:t xml:space="preserve"> countries.</w:t>
      </w:r>
      <w:r>
        <w:t xml:space="preserve"> </w:t>
      </w:r>
    </w:p>
    <w:p w14:paraId="4DB6AB1D" w14:textId="35C17E49" w:rsidR="00EE067F" w:rsidRDefault="000024B0">
      <w:r>
        <w:t xml:space="preserve">The largest error </w:t>
      </w:r>
      <w:r w:rsidR="003C5D1A">
        <w:t>observed for 2023 glass packaging was in Denmark, where we predicted 88.3% and the observed value was 68.9% (out by 19.4%).</w:t>
      </w:r>
      <w:r w:rsidR="00F129FF">
        <w:t xml:space="preserve"> T</w:t>
      </w:r>
      <w:r w:rsidR="00632CDC">
        <w:t xml:space="preserve">he training data of Denmark is noisy, </w:t>
      </w:r>
      <w:r w:rsidR="0062258E">
        <w:t xml:space="preserve">exhibiting </w:t>
      </w:r>
      <w:r w:rsidR="00F4700C">
        <w:t>huge jump</w:t>
      </w:r>
      <w:r w:rsidR="009D4510">
        <w:t xml:space="preserve">s and drops. In </w:t>
      </w:r>
      <w:r w:rsidR="00F4700C">
        <w:t>2008</w:t>
      </w:r>
      <w:r w:rsidR="009D4510">
        <w:t xml:space="preserve">, the recycling rate was </w:t>
      </w:r>
      <w:r w:rsidR="009D4510">
        <w:lastRenderedPageBreak/>
        <w:t xml:space="preserve">120.9%, which rose to 174.2% in </w:t>
      </w:r>
      <w:r w:rsidR="008E72C4">
        <w:t>2009</w:t>
      </w:r>
      <w:r w:rsidR="009D4510">
        <w:t xml:space="preserve"> and </w:t>
      </w:r>
      <w:r w:rsidR="008E72C4">
        <w:t>2010</w:t>
      </w:r>
      <w:r w:rsidR="009D4510">
        <w:t xml:space="preserve"> before falling to 85.9% in </w:t>
      </w:r>
      <w:r w:rsidR="008E72C4">
        <w:t>2011.</w:t>
      </w:r>
      <w:r w:rsidR="00556BFF">
        <w:t xml:space="preserve"> It again rises from</w:t>
      </w:r>
      <w:r w:rsidR="004C3231">
        <w:t xml:space="preserve"> 71.1% in 2019 to 84.3% in 2020 before falling from 84.5% in 2021 to </w:t>
      </w:r>
      <w:r w:rsidR="00EA3EAC">
        <w:t>67.7% in 2022.</w:t>
      </w:r>
      <w:r w:rsidR="00BC0340">
        <w:t xml:space="preserve"> It </w:t>
      </w:r>
      <w:r w:rsidR="00BC0340" w:rsidRPr="00B26C71">
        <w:t xml:space="preserve">is unsurprising </w:t>
      </w:r>
      <w:r w:rsidR="00BC0340">
        <w:t xml:space="preserve">that the forecast is poor, </w:t>
      </w:r>
      <w:r w:rsidR="00BC0340" w:rsidRPr="00B26C71">
        <w:t>given the series</w:t>
      </w:r>
      <w:r w:rsidR="00F129FF">
        <w:t>’</w:t>
      </w:r>
      <w:r w:rsidR="00BC0340" w:rsidRPr="00B26C71">
        <w:t xml:space="preserve"> characteristics</w:t>
      </w:r>
      <w:r w:rsidR="00BC0340">
        <w:t>.</w:t>
      </w:r>
      <w:r w:rsidR="00BC0340" w:rsidRPr="00B26C71">
        <w:t xml:space="preserve"> </w:t>
      </w:r>
      <w:r w:rsidR="00BC0340">
        <w:t>We would imag</w:t>
      </w:r>
      <w:r w:rsidR="00F129FF">
        <w:t>in</w:t>
      </w:r>
      <w:r w:rsidR="00BC0340">
        <w:t>e most</w:t>
      </w:r>
      <w:r w:rsidR="00BC0340" w:rsidRPr="00B26C71">
        <w:t xml:space="preserve"> model</w:t>
      </w:r>
      <w:r w:rsidR="00BC0340">
        <w:t>s would struggle</w:t>
      </w:r>
      <w:r w:rsidR="00BC0340" w:rsidRPr="00B26C71">
        <w:t xml:space="preserve"> forecast reliably from data of this nature. </w:t>
      </w:r>
    </w:p>
    <w:p w14:paraId="3DAE16B6" w14:textId="5C86F147" w:rsidR="00706795" w:rsidRDefault="00706795">
      <w:r>
        <w:t>Italy and France are forecasted to have recycling rates that exceed 100%, but this is plausible given the observed data of Sweden and Denmark.</w:t>
      </w:r>
    </w:p>
    <w:p w14:paraId="2375C559" w14:textId="77777777" w:rsidR="00D35E5C" w:rsidRDefault="00706795">
      <w:r>
        <w:t xml:space="preserve">Germany, Luxembourg and Sweden all exhibit relatively </w:t>
      </w:r>
      <w:r w:rsidR="0086079A">
        <w:t>wide prediction intervals</w:t>
      </w:r>
      <w:r w:rsidR="000C4E08">
        <w:t xml:space="preserve"> (PIs)</w:t>
      </w:r>
      <w:r w:rsidR="0086079A">
        <w:t>, but all seem to have little trend in their data, but the series appearing relatively flat when plotted.</w:t>
      </w:r>
      <w:r w:rsidR="00BC0340">
        <w:t xml:space="preserve"> This could mean there’s less signal in the data for the models to exploit</w:t>
      </w:r>
      <w:r w:rsidR="0086079A">
        <w:t xml:space="preserve"> </w:t>
      </w:r>
      <w:r w:rsidR="000C4E08">
        <w:t xml:space="preserve">Spain also has a wide </w:t>
      </w:r>
      <w:proofErr w:type="gramStart"/>
      <w:r w:rsidR="000C4E08">
        <w:t>PI, but</w:t>
      </w:r>
      <w:proofErr w:type="gramEnd"/>
      <w:r w:rsidR="000C4E08">
        <w:t xml:space="preserve"> experiences a drop </w:t>
      </w:r>
      <w:r w:rsidR="005B71DA">
        <w:t>just before the forecast horizon (</w:t>
      </w:r>
      <w:r w:rsidR="000C4E08">
        <w:t>from 79</w:t>
      </w:r>
      <w:r w:rsidR="005B71DA">
        <w:t>.8% in 2019 to 66.7% in 2020) which may have influenced this</w:t>
      </w:r>
      <w:r w:rsidR="00A4636A">
        <w:t>.</w:t>
      </w:r>
    </w:p>
    <w:p w14:paraId="7858256C" w14:textId="77777777" w:rsidR="00D35E5C" w:rsidRDefault="00D35E5C">
      <w:pPr>
        <w:rPr>
          <w:b/>
          <w:bCs/>
          <w:sz w:val="40"/>
          <w:szCs w:val="40"/>
        </w:rPr>
      </w:pPr>
    </w:p>
    <w:p w14:paraId="76E40716" w14:textId="77777777" w:rsidR="00D35E5C" w:rsidRDefault="00D35E5C">
      <w:pPr>
        <w:rPr>
          <w:b/>
          <w:bCs/>
          <w:sz w:val="40"/>
          <w:szCs w:val="40"/>
        </w:rPr>
      </w:pPr>
    </w:p>
    <w:p w14:paraId="46628C26" w14:textId="77777777" w:rsidR="00D35E5C" w:rsidRDefault="00D35E5C">
      <w:pPr>
        <w:rPr>
          <w:b/>
          <w:bCs/>
          <w:sz w:val="40"/>
          <w:szCs w:val="40"/>
        </w:rPr>
      </w:pPr>
    </w:p>
    <w:p w14:paraId="2C148189" w14:textId="77777777" w:rsidR="00D35E5C" w:rsidRDefault="00D35E5C">
      <w:pPr>
        <w:rPr>
          <w:b/>
          <w:bCs/>
          <w:sz w:val="40"/>
          <w:szCs w:val="40"/>
        </w:rPr>
      </w:pPr>
    </w:p>
    <w:p w14:paraId="66013ADF" w14:textId="77777777" w:rsidR="00D35E5C" w:rsidRDefault="00D35E5C">
      <w:pPr>
        <w:rPr>
          <w:b/>
          <w:bCs/>
          <w:sz w:val="40"/>
          <w:szCs w:val="40"/>
        </w:rPr>
      </w:pPr>
    </w:p>
    <w:p w14:paraId="21B6AE83" w14:textId="77777777" w:rsidR="00D35E5C" w:rsidRDefault="00D35E5C">
      <w:pPr>
        <w:rPr>
          <w:b/>
          <w:bCs/>
          <w:sz w:val="40"/>
          <w:szCs w:val="40"/>
        </w:rPr>
      </w:pPr>
    </w:p>
    <w:p w14:paraId="6B1A5FF6" w14:textId="77777777" w:rsidR="00D35E5C" w:rsidRDefault="00D35E5C">
      <w:pPr>
        <w:rPr>
          <w:b/>
          <w:bCs/>
          <w:sz w:val="40"/>
          <w:szCs w:val="40"/>
        </w:rPr>
      </w:pPr>
    </w:p>
    <w:p w14:paraId="702F8A50" w14:textId="77777777" w:rsidR="00FF7A59" w:rsidRDefault="00FF7A59">
      <w:pPr>
        <w:rPr>
          <w:b/>
          <w:bCs/>
          <w:sz w:val="40"/>
          <w:szCs w:val="40"/>
        </w:rPr>
      </w:pPr>
    </w:p>
    <w:p w14:paraId="4BD3223A" w14:textId="77777777" w:rsidR="00FF7A59" w:rsidRDefault="00FF7A59">
      <w:pPr>
        <w:rPr>
          <w:b/>
          <w:bCs/>
          <w:sz w:val="40"/>
          <w:szCs w:val="40"/>
        </w:rPr>
      </w:pPr>
    </w:p>
    <w:p w14:paraId="6A789AA9" w14:textId="77777777" w:rsidR="00FF7A59" w:rsidRDefault="00FF7A59">
      <w:pPr>
        <w:rPr>
          <w:b/>
          <w:bCs/>
          <w:sz w:val="40"/>
          <w:szCs w:val="40"/>
        </w:rPr>
      </w:pPr>
    </w:p>
    <w:p w14:paraId="2E636BAC" w14:textId="77777777" w:rsidR="00FF7A59" w:rsidRDefault="00FF7A59">
      <w:pPr>
        <w:rPr>
          <w:b/>
          <w:bCs/>
          <w:sz w:val="40"/>
          <w:szCs w:val="40"/>
        </w:rPr>
      </w:pPr>
    </w:p>
    <w:p w14:paraId="5990B49A" w14:textId="77777777" w:rsidR="00FF7A59" w:rsidRDefault="00FF7A59">
      <w:pPr>
        <w:rPr>
          <w:b/>
          <w:bCs/>
          <w:sz w:val="40"/>
          <w:szCs w:val="40"/>
        </w:rPr>
      </w:pPr>
    </w:p>
    <w:p w14:paraId="4071577C" w14:textId="77777777" w:rsidR="00FF7A59" w:rsidRDefault="00FF7A59">
      <w:pPr>
        <w:rPr>
          <w:b/>
          <w:bCs/>
          <w:sz w:val="40"/>
          <w:szCs w:val="40"/>
        </w:rPr>
      </w:pPr>
    </w:p>
    <w:p w14:paraId="15A4B6E7" w14:textId="72D1864E" w:rsidR="00A860D2" w:rsidRDefault="00A860D2">
      <w:pPr>
        <w:rPr>
          <w:b/>
          <w:bCs/>
          <w:sz w:val="40"/>
          <w:szCs w:val="40"/>
        </w:rPr>
      </w:pPr>
      <w:r w:rsidRPr="00A31E68">
        <w:rPr>
          <w:b/>
          <w:bCs/>
          <w:sz w:val="40"/>
          <w:szCs w:val="40"/>
        </w:rPr>
        <w:lastRenderedPageBreak/>
        <w:t>Plastic Packaging</w:t>
      </w:r>
    </w:p>
    <w:p w14:paraId="70C69412" w14:textId="3D6F9B94" w:rsidR="00A56527" w:rsidRDefault="00D35E5C">
      <w:r w:rsidRPr="00D35E5C">
        <w:rPr>
          <w:noProof/>
        </w:rPr>
        <w:drawing>
          <wp:inline distT="0" distB="0" distL="0" distR="0" wp14:anchorId="306F1400" wp14:editId="305F130D">
            <wp:extent cx="5433531" cy="7239627"/>
            <wp:effectExtent l="0" t="0" r="0" b="0"/>
            <wp:docPr id="157562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22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723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576E" w14:textId="17F4139B" w:rsidR="00A56527" w:rsidRDefault="00A56527">
      <w:r>
        <w:t>These are pretty good.</w:t>
      </w:r>
      <w:r w:rsidR="00F129FF">
        <w:t xml:space="preserve"> Again, majority of PIs cover the observed value.</w:t>
      </w:r>
    </w:p>
    <w:p w14:paraId="0757FB0E" w14:textId="4E2EE642" w:rsidR="00063633" w:rsidRDefault="00063633">
      <w:r w:rsidRPr="00063633">
        <w:t xml:space="preserve">Austria is a notable case where the point forecast appears to jump relative to the recent observed level, yet the 2023 observed value also jumps, resulting in a small error of 2.3 </w:t>
      </w:r>
      <w:r w:rsidRPr="00063633">
        <w:lastRenderedPageBreak/>
        <w:t>percentage points</w:t>
      </w:r>
      <w:r w:rsidR="00711C67">
        <w:t>. This</w:t>
      </w:r>
      <w:r w:rsidRPr="00063633">
        <w:t xml:space="preserve"> suggest</w:t>
      </w:r>
      <w:r w:rsidR="00711C67">
        <w:t xml:space="preserve">s </w:t>
      </w:r>
      <w:r w:rsidRPr="00063633">
        <w:t xml:space="preserve">the model captured an underlying covariate signal even </w:t>
      </w:r>
      <w:r w:rsidR="00FF7A59" w:rsidRPr="00063633">
        <w:t>if not</w:t>
      </w:r>
      <w:r w:rsidRPr="00063633">
        <w:t xml:space="preserve"> immediately obvious from the series alone.</w:t>
      </w:r>
    </w:p>
    <w:p w14:paraId="60115EBE" w14:textId="1050D069" w:rsidR="00A860D2" w:rsidRDefault="002B3509">
      <w:r>
        <w:t>Again, Denmark has a large forecast error for the 2023 value (predicted 15.8%, observed value 27.8%).</w:t>
      </w:r>
      <w:r w:rsidR="007434D9">
        <w:t xml:space="preserve"> </w:t>
      </w:r>
      <w:r w:rsidR="00681743">
        <w:t xml:space="preserve">The model seems to have forecast that the downward trend observed from </w:t>
      </w:r>
      <w:r w:rsidR="005B1AE5">
        <w:t xml:space="preserve">2017 onwards would continue, which the series seems to </w:t>
      </w:r>
      <w:proofErr w:type="gramStart"/>
      <w:r w:rsidR="005B1AE5">
        <w:t>ticked</w:t>
      </w:r>
      <w:proofErr w:type="gramEnd"/>
      <w:r w:rsidR="005B1AE5">
        <w:t xml:space="preserve"> up slightly. </w:t>
      </w:r>
      <w:r w:rsidR="002D5723">
        <w:t xml:space="preserve">The series also appears to be slightly noisier towards the end, maybe making prediction more difficult. </w:t>
      </w:r>
    </w:p>
    <w:p w14:paraId="43B2580D" w14:textId="246C4FC4" w:rsidR="002D5723" w:rsidRDefault="002D5723">
      <w:r>
        <w:t xml:space="preserve">Spain also saw a large forecast error (predicted </w:t>
      </w:r>
      <w:r w:rsidR="00F6707A">
        <w:t>58.7%, observed 46.2%). The model predicted a large jump from the 41.2% value observed in 2022, however, the series didn’t jump by quite the amount as predicted.</w:t>
      </w:r>
    </w:p>
    <w:p w14:paraId="5F5454BC" w14:textId="0316A6C3" w:rsidR="00C62CF1" w:rsidRDefault="00C30417">
      <w:r>
        <w:t xml:space="preserve">Denmark, </w:t>
      </w:r>
      <w:r w:rsidR="00C62CF1">
        <w:t xml:space="preserve">Luxembourg, Portugal and Sweden have </w:t>
      </w:r>
      <w:r w:rsidR="004B54BF">
        <w:t xml:space="preserve">wide PIs. Luxembourg has no observable </w:t>
      </w:r>
      <w:proofErr w:type="gramStart"/>
      <w:r w:rsidR="004B54BF">
        <w:t>trend</w:t>
      </w:r>
      <w:proofErr w:type="gramEnd"/>
      <w:r w:rsidR="004B54BF">
        <w:t xml:space="preserve"> and Portugal is relatively flat</w:t>
      </w:r>
      <w:r w:rsidR="00175CC1">
        <w:t xml:space="preserve"> for </w:t>
      </w:r>
      <w:proofErr w:type="gramStart"/>
      <w:r w:rsidR="00175CC1">
        <w:t>a number of</w:t>
      </w:r>
      <w:proofErr w:type="gramEnd"/>
      <w:r w:rsidR="00175CC1">
        <w:t xml:space="preserve"> years leading up to the forecast horizon, possibly causing the wide PIs. </w:t>
      </w:r>
      <w:r>
        <w:t>Denmark</w:t>
      </w:r>
      <w:r w:rsidR="00CD187C">
        <w:t xml:space="preserve"> and Sw</w:t>
      </w:r>
      <w:r>
        <w:t>eden experience drops / noise prior to the forecast horizon, possibly hindering predictions.</w:t>
      </w:r>
    </w:p>
    <w:p w14:paraId="75E8E294" w14:textId="77777777" w:rsidR="00787922" w:rsidRDefault="00787922"/>
    <w:p w14:paraId="007317E9" w14:textId="290074AE" w:rsidR="00787922" w:rsidRPr="00787922" w:rsidRDefault="009E2FF2">
      <w:pPr>
        <w:rPr>
          <w:b/>
          <w:bCs/>
        </w:rPr>
      </w:pPr>
      <w:r w:rsidRPr="006A6C57"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63360" behindDoc="0" locked="0" layoutInCell="1" allowOverlap="1" wp14:anchorId="66C7D16A" wp14:editId="0AB2FE87">
            <wp:simplePos x="0" y="0"/>
            <wp:positionH relativeFrom="column">
              <wp:posOffset>-32385</wp:posOffset>
            </wp:positionH>
            <wp:positionV relativeFrom="paragraph">
              <wp:posOffset>425258</wp:posOffset>
            </wp:positionV>
            <wp:extent cx="5443855" cy="7288530"/>
            <wp:effectExtent l="0" t="0" r="4445" b="7620"/>
            <wp:wrapSquare wrapText="bothSides"/>
            <wp:docPr id="11106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29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855" cy="728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7922" w:rsidRPr="00787922">
        <w:rPr>
          <w:b/>
          <w:bCs/>
          <w:sz w:val="40"/>
          <w:szCs w:val="40"/>
        </w:rPr>
        <w:t>Metallic Packaging</w:t>
      </w:r>
    </w:p>
    <w:p w14:paraId="7A15B46E" w14:textId="49ED9A16" w:rsidR="00F129FF" w:rsidRDefault="00F129FF">
      <w:r>
        <w:t>Coverage isn’t as good here as it was in previous waste streams.</w:t>
      </w:r>
    </w:p>
    <w:p w14:paraId="04E6F2B7" w14:textId="09A0D4F0" w:rsidR="00787922" w:rsidRDefault="007A6416">
      <w:r>
        <w:t>Italy has a large error here</w:t>
      </w:r>
      <w:r w:rsidR="006E53DC">
        <w:t xml:space="preserve"> for 2023</w:t>
      </w:r>
      <w:r>
        <w:t xml:space="preserve"> (predicted </w:t>
      </w:r>
      <w:r w:rsidR="006E53DC">
        <w:t>73.9%, actual is 86.2%). We predicted a small decrease from the 2022</w:t>
      </w:r>
      <w:r w:rsidR="00DD77D3">
        <w:t xml:space="preserve"> figure of 78%, while there was </w:t>
      </w:r>
      <w:proofErr w:type="gramStart"/>
      <w:r w:rsidR="00DD77D3">
        <w:t>actually a</w:t>
      </w:r>
      <w:proofErr w:type="gramEnd"/>
      <w:r w:rsidR="00DD77D3">
        <w:t xml:space="preserve"> large jump. </w:t>
      </w:r>
    </w:p>
    <w:p w14:paraId="36B3B2C9" w14:textId="60885FB4" w:rsidR="00DE6025" w:rsidRDefault="00BC2618">
      <w:r>
        <w:lastRenderedPageBreak/>
        <w:t>There is a large 2023 error for Luxembourg (predicted 71.1%, observed 84.2%).</w:t>
      </w:r>
      <w:r w:rsidR="00085EAA">
        <w:t xml:space="preserve"> The model </w:t>
      </w:r>
      <w:r w:rsidR="00DE6025">
        <w:t>over-</w:t>
      </w:r>
      <w:r w:rsidR="00085EAA">
        <w:t xml:space="preserve">predicted </w:t>
      </w:r>
      <w:r w:rsidR="00DE6025">
        <w:t>the</w:t>
      </w:r>
      <w:r w:rsidR="00085EAA">
        <w:t xml:space="preserve"> rise</w:t>
      </w:r>
      <w:r w:rsidR="00DE6025">
        <w:t xml:space="preserve"> in 2023 from the 2022 value of 70.7%.</w:t>
      </w:r>
    </w:p>
    <w:p w14:paraId="3BF54887" w14:textId="7EB04ADE" w:rsidR="00DE6025" w:rsidRDefault="00302B29">
      <w:r>
        <w:t>Portugal also had a large 2023 error (predicted 87.5</w:t>
      </w:r>
      <w:r w:rsidR="00903679">
        <w:t>%</w:t>
      </w:r>
      <w:r>
        <w:t>, observed 50.2</w:t>
      </w:r>
      <w:r w:rsidR="00903679">
        <w:t>%</w:t>
      </w:r>
      <w:r>
        <w:t xml:space="preserve">). </w:t>
      </w:r>
      <w:r w:rsidR="00B02AAB">
        <w:t xml:space="preserve">The model’s PI is also </w:t>
      </w:r>
      <w:r w:rsidR="004B3245">
        <w:t>considerably</w:t>
      </w:r>
      <w:r w:rsidR="00B02AAB">
        <w:t xml:space="preserve"> wide.</w:t>
      </w:r>
      <w:r w:rsidR="00903679">
        <w:t xml:space="preserve"> However, the series is one of the noisiest we’re working with.</w:t>
      </w:r>
      <w:r w:rsidR="00A16E23">
        <w:t xml:space="preserve"> There’s a large jump in this series from 24.3</w:t>
      </w:r>
      <w:r w:rsidR="004B3245">
        <w:t>%</w:t>
      </w:r>
      <w:r w:rsidR="00A16E23">
        <w:t xml:space="preserve"> in 2001 to 52.8</w:t>
      </w:r>
      <w:r w:rsidR="004B3245">
        <w:t>%</w:t>
      </w:r>
      <w:r w:rsidR="00A16E23">
        <w:t xml:space="preserve"> in 2002</w:t>
      </w:r>
      <w:r w:rsidR="004B3245">
        <w:t xml:space="preserve"> with a drop from 75.7% in 2013 to 58.3% in 2014.</w:t>
      </w:r>
      <w:r w:rsidR="00A941BB">
        <w:t xml:space="preserve"> There is another drop from 63.6% in </w:t>
      </w:r>
      <w:r w:rsidR="005525F0">
        <w:t>2015 to 42.9% in 2016</w:t>
      </w:r>
      <w:r w:rsidR="008418A3">
        <w:t>. This noise will</w:t>
      </w:r>
      <w:r w:rsidR="00A27E58">
        <w:t xml:space="preserve"> </w:t>
      </w:r>
      <w:r w:rsidR="008418A3">
        <w:t>affect</w:t>
      </w:r>
      <w:r w:rsidR="00A27E58">
        <w:t xml:space="preserve"> forecast performance and PI width.</w:t>
      </w:r>
    </w:p>
    <w:p w14:paraId="72B048D8" w14:textId="2B5B829F" w:rsidR="00F0001A" w:rsidRDefault="00F0001A">
      <w:r>
        <w:t xml:space="preserve">Austria, France, Luxembourg and Portugal all have wide </w:t>
      </w:r>
      <w:r w:rsidR="00FB4925">
        <w:t xml:space="preserve">PIs. </w:t>
      </w:r>
      <w:r w:rsidR="00AE2884">
        <w:t>Austria observes a jump from 61.4%</w:t>
      </w:r>
      <w:r w:rsidR="002A0859">
        <w:t xml:space="preserve"> in 2012</w:t>
      </w:r>
      <w:r w:rsidR="00AE2884">
        <w:t xml:space="preserve"> </w:t>
      </w:r>
      <w:r w:rsidR="002A0859">
        <w:t xml:space="preserve">to 87.5% in 2013 and a drop from 84.7% in 2019 to 66.1% in 2020, possibly adding noise to the series. </w:t>
      </w:r>
      <w:r w:rsidR="0054175C">
        <w:t xml:space="preserve">France sees a drop in 2020 from 83.4% to 57.9%. </w:t>
      </w:r>
      <w:r w:rsidR="007F16E2">
        <w:t>Luxembourg see</w:t>
      </w:r>
      <w:r w:rsidR="008418A3">
        <w:t>s</w:t>
      </w:r>
      <w:r w:rsidR="007F16E2">
        <w:t xml:space="preserve"> a ~10% drop in </w:t>
      </w:r>
      <w:r w:rsidR="00FE1ABE">
        <w:t>2021.</w:t>
      </w:r>
    </w:p>
    <w:p w14:paraId="320A868B" w14:textId="77777777" w:rsidR="008D3155" w:rsidRDefault="008D3155"/>
    <w:p w14:paraId="7D27BA42" w14:textId="77777777" w:rsidR="008D3155" w:rsidRDefault="008D3155"/>
    <w:p w14:paraId="36FED19D" w14:textId="77777777" w:rsidR="008D3155" w:rsidRDefault="008D3155"/>
    <w:p w14:paraId="33FAF0A0" w14:textId="45AD0A8C" w:rsidR="008D3155" w:rsidRDefault="008D3155"/>
    <w:p w14:paraId="2B0BBC16" w14:textId="77777777" w:rsidR="00A56527" w:rsidRDefault="00A56527"/>
    <w:p w14:paraId="0F234EB6" w14:textId="77777777" w:rsidR="00A56527" w:rsidRDefault="00A56527"/>
    <w:p w14:paraId="0C1E5535" w14:textId="77777777" w:rsidR="00A56527" w:rsidRDefault="00A56527"/>
    <w:p w14:paraId="53F9FAF8" w14:textId="77777777" w:rsidR="00A56527" w:rsidRDefault="00A56527"/>
    <w:p w14:paraId="6D098A76" w14:textId="77777777" w:rsidR="00A56527" w:rsidRDefault="00A56527"/>
    <w:p w14:paraId="1D49F6D9" w14:textId="77777777" w:rsidR="00A56527" w:rsidRDefault="00A56527"/>
    <w:p w14:paraId="55F335F2" w14:textId="77777777" w:rsidR="00A56527" w:rsidRDefault="00A56527"/>
    <w:p w14:paraId="5D61ACE5" w14:textId="77777777" w:rsidR="00A56527" w:rsidRDefault="00A56527"/>
    <w:p w14:paraId="3D1C3121" w14:textId="77777777" w:rsidR="00A56527" w:rsidRDefault="00A56527"/>
    <w:p w14:paraId="70ACFC52" w14:textId="77777777" w:rsidR="00A56527" w:rsidRDefault="00A56527"/>
    <w:p w14:paraId="648F549B" w14:textId="77777777" w:rsidR="00A56527" w:rsidRDefault="00A56527"/>
    <w:p w14:paraId="482DA7E0" w14:textId="77777777" w:rsidR="00A56527" w:rsidRDefault="00A56527"/>
    <w:p w14:paraId="58B1E53F" w14:textId="77777777" w:rsidR="00A56527" w:rsidRDefault="00A56527"/>
    <w:p w14:paraId="1603FFDB" w14:textId="77777777" w:rsidR="00A56527" w:rsidRDefault="00A56527"/>
    <w:p w14:paraId="3D8FE6D7" w14:textId="77777777" w:rsidR="00A56527" w:rsidRDefault="00A56527"/>
    <w:p w14:paraId="59EDE0EB" w14:textId="77777777" w:rsidR="00A56527" w:rsidRDefault="00A56527"/>
    <w:p w14:paraId="7A1BC06E" w14:textId="77777777" w:rsidR="00A56527" w:rsidRDefault="00A56527"/>
    <w:p w14:paraId="0FB0E836" w14:textId="34DBAA57" w:rsidR="008D3155" w:rsidRDefault="008D3155">
      <w:pPr>
        <w:rPr>
          <w:b/>
          <w:bCs/>
          <w:sz w:val="40"/>
          <w:szCs w:val="40"/>
        </w:rPr>
      </w:pPr>
      <w:r w:rsidRPr="008D3155">
        <w:rPr>
          <w:b/>
          <w:bCs/>
          <w:sz w:val="40"/>
          <w:szCs w:val="40"/>
        </w:rPr>
        <w:t>Paper &amp; Cardboard Packaging</w:t>
      </w:r>
    </w:p>
    <w:p w14:paraId="64684262" w14:textId="68ACBA13" w:rsidR="00A56527" w:rsidRPr="008D3155" w:rsidRDefault="00A56527">
      <w:pPr>
        <w:rPr>
          <w:b/>
          <w:bCs/>
          <w:sz w:val="40"/>
          <w:szCs w:val="40"/>
        </w:rPr>
      </w:pPr>
      <w:r w:rsidRPr="00A56527">
        <w:rPr>
          <w:b/>
          <w:bCs/>
          <w:noProof/>
          <w:sz w:val="40"/>
          <w:szCs w:val="40"/>
        </w:rPr>
        <w:drawing>
          <wp:inline distT="0" distB="0" distL="0" distR="0" wp14:anchorId="456B59B9" wp14:editId="425DDA7C">
            <wp:extent cx="5418290" cy="7247248"/>
            <wp:effectExtent l="0" t="0" r="0" b="0"/>
            <wp:docPr id="193637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72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724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7980" w14:textId="5A0984D6" w:rsidR="00D5021F" w:rsidRDefault="00D5021F">
      <w:r>
        <w:t>This is the worst stream of the lot.</w:t>
      </w:r>
      <w:r w:rsidR="00F129FF">
        <w:t xml:space="preserve"> Coverage isn’t fantastic.</w:t>
      </w:r>
    </w:p>
    <w:p w14:paraId="4581F9C7" w14:textId="5046A41E" w:rsidR="00DE6025" w:rsidRDefault="00BE2AD7">
      <w:r>
        <w:lastRenderedPageBreak/>
        <w:t xml:space="preserve">We have a large 2023 error for Belgium (predicted 93.6, observed 83.9). </w:t>
      </w:r>
      <w:r w:rsidR="006B70F0">
        <w:t xml:space="preserve">The model predicted a rise on the 2022 value of 86.1% when it </w:t>
      </w:r>
      <w:proofErr w:type="gramStart"/>
      <w:r w:rsidR="00D5021F">
        <w:t xml:space="preserve">actually </w:t>
      </w:r>
      <w:r w:rsidR="006B70F0">
        <w:t>fell</w:t>
      </w:r>
      <w:proofErr w:type="gramEnd"/>
      <w:r w:rsidR="006B70F0">
        <w:t xml:space="preserve"> slightly.</w:t>
      </w:r>
    </w:p>
    <w:p w14:paraId="29CD85D2" w14:textId="6FB8ECDB" w:rsidR="006B70F0" w:rsidRDefault="006B70F0">
      <w:r>
        <w:t xml:space="preserve">The 2023 error for </w:t>
      </w:r>
      <w:r w:rsidR="00C93872">
        <w:t>Denmark occurs as we predicted a drop while it stays relatively the same.</w:t>
      </w:r>
      <w:r w:rsidR="004D3CCE">
        <w:t xml:space="preserve"> The PIs are also quite wide.</w:t>
      </w:r>
      <w:r w:rsidR="00C93872">
        <w:t xml:space="preserve"> </w:t>
      </w:r>
      <w:r w:rsidR="00D5021F">
        <w:t>Again, the Danish data is noisy here, experiencing lots of drops and rises.</w:t>
      </w:r>
    </w:p>
    <w:p w14:paraId="551CF95A" w14:textId="08D9847A" w:rsidR="00C93872" w:rsidRDefault="00812743">
      <w:r>
        <w:t>Finland’s</w:t>
      </w:r>
      <w:r w:rsidR="004A711A">
        <w:t xml:space="preserve"> and Ireland’s</w:t>
      </w:r>
      <w:r>
        <w:t xml:space="preserve"> large </w:t>
      </w:r>
      <w:r w:rsidR="004A711A">
        <w:t>2023</w:t>
      </w:r>
      <w:r>
        <w:t xml:space="preserve"> error</w:t>
      </w:r>
      <w:r w:rsidR="004A711A">
        <w:t>s</w:t>
      </w:r>
      <w:r>
        <w:t xml:space="preserve"> can be explained as the model predicts a jump when the data stays the same.</w:t>
      </w:r>
    </w:p>
    <w:p w14:paraId="17B1090F" w14:textId="3E34CAC9" w:rsidR="00812743" w:rsidRDefault="00FA7C68">
      <w:r>
        <w:t>Italy’s large 2023 error is explained by a jump in the series. The 2022 value was 80%, we predicted 73.9%, the series jumped to 92.</w:t>
      </w:r>
      <w:r w:rsidR="004D3CCE">
        <w:t>6%.</w:t>
      </w:r>
    </w:p>
    <w:p w14:paraId="5DB083D0" w14:textId="397790AC" w:rsidR="004D3CCE" w:rsidRDefault="004D3CCE"/>
    <w:sectPr w:rsidR="004D3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A4596" w14:textId="77777777" w:rsidR="00476D02" w:rsidRDefault="00476D02" w:rsidP="0030417A">
      <w:pPr>
        <w:spacing w:after="0" w:line="240" w:lineRule="auto"/>
      </w:pPr>
      <w:r>
        <w:separator/>
      </w:r>
    </w:p>
  </w:endnote>
  <w:endnote w:type="continuationSeparator" w:id="0">
    <w:p w14:paraId="5D3207C1" w14:textId="77777777" w:rsidR="00476D02" w:rsidRDefault="00476D02" w:rsidP="00304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393CB" w14:textId="77777777" w:rsidR="00476D02" w:rsidRDefault="00476D02" w:rsidP="0030417A">
      <w:pPr>
        <w:spacing w:after="0" w:line="240" w:lineRule="auto"/>
      </w:pPr>
      <w:r>
        <w:separator/>
      </w:r>
    </w:p>
  </w:footnote>
  <w:footnote w:type="continuationSeparator" w:id="0">
    <w:p w14:paraId="2A5D7423" w14:textId="77777777" w:rsidR="00476D02" w:rsidRDefault="00476D02" w:rsidP="003041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35F"/>
    <w:rsid w:val="000024B0"/>
    <w:rsid w:val="00026A80"/>
    <w:rsid w:val="00063633"/>
    <w:rsid w:val="00085EAA"/>
    <w:rsid w:val="000C4E08"/>
    <w:rsid w:val="00127325"/>
    <w:rsid w:val="00157D9C"/>
    <w:rsid w:val="00171185"/>
    <w:rsid w:val="00175CC1"/>
    <w:rsid w:val="001A219D"/>
    <w:rsid w:val="00273AF7"/>
    <w:rsid w:val="0027438A"/>
    <w:rsid w:val="002A0859"/>
    <w:rsid w:val="002B3509"/>
    <w:rsid w:val="002D5723"/>
    <w:rsid w:val="00302B29"/>
    <w:rsid w:val="0030417A"/>
    <w:rsid w:val="003C5D1A"/>
    <w:rsid w:val="00476D02"/>
    <w:rsid w:val="004A711A"/>
    <w:rsid w:val="004B3245"/>
    <w:rsid w:val="004B54BF"/>
    <w:rsid w:val="004C3231"/>
    <w:rsid w:val="004D1976"/>
    <w:rsid w:val="004D3CCE"/>
    <w:rsid w:val="0054175C"/>
    <w:rsid w:val="005525F0"/>
    <w:rsid w:val="00556BFF"/>
    <w:rsid w:val="005674AB"/>
    <w:rsid w:val="00573EDD"/>
    <w:rsid w:val="005B1AE5"/>
    <w:rsid w:val="005B71DA"/>
    <w:rsid w:val="0062258E"/>
    <w:rsid w:val="00632CDC"/>
    <w:rsid w:val="00644DBC"/>
    <w:rsid w:val="00681743"/>
    <w:rsid w:val="006A6C57"/>
    <w:rsid w:val="006B70F0"/>
    <w:rsid w:val="006C1D20"/>
    <w:rsid w:val="006E53DC"/>
    <w:rsid w:val="00706795"/>
    <w:rsid w:val="00711C67"/>
    <w:rsid w:val="007434D9"/>
    <w:rsid w:val="00787922"/>
    <w:rsid w:val="007A6416"/>
    <w:rsid w:val="007F16E2"/>
    <w:rsid w:val="00812743"/>
    <w:rsid w:val="008418A3"/>
    <w:rsid w:val="0086079A"/>
    <w:rsid w:val="008D3155"/>
    <w:rsid w:val="008E72C4"/>
    <w:rsid w:val="00903679"/>
    <w:rsid w:val="00946678"/>
    <w:rsid w:val="009D4510"/>
    <w:rsid w:val="009E2FF2"/>
    <w:rsid w:val="00A16E23"/>
    <w:rsid w:val="00A248F7"/>
    <w:rsid w:val="00A27E58"/>
    <w:rsid w:val="00A31E68"/>
    <w:rsid w:val="00A4636A"/>
    <w:rsid w:val="00A56527"/>
    <w:rsid w:val="00A80F22"/>
    <w:rsid w:val="00A860D2"/>
    <w:rsid w:val="00A941BB"/>
    <w:rsid w:val="00AD4AF2"/>
    <w:rsid w:val="00AE2884"/>
    <w:rsid w:val="00B02AAB"/>
    <w:rsid w:val="00B26C71"/>
    <w:rsid w:val="00BC0340"/>
    <w:rsid w:val="00BC2618"/>
    <w:rsid w:val="00BE2AD7"/>
    <w:rsid w:val="00C23AB6"/>
    <w:rsid w:val="00C30417"/>
    <w:rsid w:val="00C50438"/>
    <w:rsid w:val="00C62CF1"/>
    <w:rsid w:val="00C77430"/>
    <w:rsid w:val="00C93872"/>
    <w:rsid w:val="00CC4304"/>
    <w:rsid w:val="00CD187C"/>
    <w:rsid w:val="00CE735F"/>
    <w:rsid w:val="00D34655"/>
    <w:rsid w:val="00D35E5C"/>
    <w:rsid w:val="00D461D5"/>
    <w:rsid w:val="00D5021F"/>
    <w:rsid w:val="00DD77D3"/>
    <w:rsid w:val="00DE6025"/>
    <w:rsid w:val="00E1472F"/>
    <w:rsid w:val="00E23CEC"/>
    <w:rsid w:val="00EA3EAC"/>
    <w:rsid w:val="00EB20EE"/>
    <w:rsid w:val="00EE067F"/>
    <w:rsid w:val="00F0001A"/>
    <w:rsid w:val="00F129FF"/>
    <w:rsid w:val="00F4700C"/>
    <w:rsid w:val="00F6707A"/>
    <w:rsid w:val="00FA7C68"/>
    <w:rsid w:val="00FB4925"/>
    <w:rsid w:val="00FB7C40"/>
    <w:rsid w:val="00FE1ABE"/>
    <w:rsid w:val="00FF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131BB"/>
  <w15:chartTrackingRefBased/>
  <w15:docId w15:val="{A3631AD1-04A4-4AE0-B79A-5BC5888DB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3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1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17A"/>
  </w:style>
  <w:style w:type="paragraph" w:styleId="Footer">
    <w:name w:val="footer"/>
    <w:basedOn w:val="Normal"/>
    <w:link w:val="FooterChar"/>
    <w:uiPriority w:val="99"/>
    <w:unhideWhenUsed/>
    <w:rsid w:val="003041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084b924-3ab4-4116-9251-9939f695e54c}" enabled="0" method="" siteId="{0084b924-3ab4-4116-9251-9939f695e5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8</Pages>
  <Words>663</Words>
  <Characters>3782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ULPG:Mullane.Paul</dc:creator>
  <cp:keywords/>
  <dc:description/>
  <cp:lastModifiedBy>ULPG:Mullane.Paul</cp:lastModifiedBy>
  <cp:revision>91</cp:revision>
  <dcterms:created xsi:type="dcterms:W3CDTF">2026-06-03T10:25:00Z</dcterms:created>
  <dcterms:modified xsi:type="dcterms:W3CDTF">2026-06-04T11:12:00Z</dcterms:modified>
</cp:coreProperties>
</file>