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F02A" w14:textId="238BCEE9" w:rsidR="00EE067F" w:rsidRDefault="00E018E8">
      <w:r w:rsidRPr="00E018E8">
        <w:t xml:space="preserve">To generate probabilistic forecast paths for Austria's GDP, we employ the Theta method via the </w:t>
      </w:r>
      <w:proofErr w:type="spellStart"/>
      <w:r w:rsidRPr="00E018E8">
        <w:t>thetaf</w:t>
      </w:r>
      <w:proofErr w:type="spellEnd"/>
      <w:r w:rsidRPr="00E018E8">
        <w:t xml:space="preserve"> function, which is equivalent to Simple Exponential Smoothing (SES) with drift (Hyndman &amp; Billah, 2003). Rather than relying solely on the point forecast and parametric prediction intervals produced by </w:t>
      </w:r>
      <w:proofErr w:type="spellStart"/>
      <w:r w:rsidRPr="00E018E8">
        <w:t>thetaf</w:t>
      </w:r>
      <w:proofErr w:type="spellEnd"/>
      <w:r w:rsidRPr="00E018E8">
        <w:t xml:space="preserve">, we simulate 1,000 future sample paths by recursively propagating the model's state equation forward over the 8-period forecast horizon. At each step, the state level is updated as a weighted average of the current simulated value and the previous level, governed by the smoothing parameter </w:t>
      </w:r>
      <m:oMath>
        <m:r>
          <w:rPr>
            <w:rFonts w:ascii="Cambria Math" w:hAnsi="Cambria Math"/>
          </w:rPr>
          <m:t>α</m:t>
        </m:r>
      </m:oMath>
      <w:r w:rsidRPr="00E018E8">
        <w:t>, while the drift component captures the underlying trend. Uncertainty is introduced by drawing innovations from a Gaussian distribution with standard deviation estimated from the model residuals. This recursive simulation approach is consistent with the model's internal dynamics and produces temporally coherent paths that respect the autocorrelation structure implied by the fitted model, in contrast to sampling independently from marginal prediction intervals at each horizon.</w:t>
      </w:r>
    </w:p>
    <w:p w14:paraId="22740C71" w14:textId="06A60CD2" w:rsidR="00D40B50" w:rsidRDefault="00D40B50">
      <w:r>
        <w:t>For CO2 emissions, we are working on the log scale to avoid negative values. The data is log transformed, forecast and then exponentiated back to the original scale.</w:t>
      </w:r>
    </w:p>
    <w:p w14:paraId="7E63BA0A" w14:textId="77777777" w:rsidR="00023A41" w:rsidRDefault="00023A41"/>
    <w:p w14:paraId="3AC73B06" w14:textId="321E9EBB" w:rsidR="00023A41" w:rsidRDefault="00023A41">
      <w:r w:rsidRPr="00023A41">
        <w:t>T</w:t>
      </w:r>
      <w:r>
        <w:t xml:space="preserve">he simulate function is used </w:t>
      </w:r>
      <w:r w:rsidRPr="00023A41">
        <w:t xml:space="preserve">for the Neural Network Autoregressive model via the </w:t>
      </w:r>
      <w:proofErr w:type="spellStart"/>
      <w:r w:rsidRPr="00023A41">
        <w:t>nnetar</w:t>
      </w:r>
      <w:proofErr w:type="spellEnd"/>
      <w:r w:rsidRPr="00023A41">
        <w:t xml:space="preserve"> function. Rather than producing a single point forecast, 1,000 future sample paths are generated using </w:t>
      </w:r>
      <w:proofErr w:type="spellStart"/>
      <w:proofErr w:type="gramStart"/>
      <w:r w:rsidRPr="00023A41">
        <w:t>simulate.nnetar</w:t>
      </w:r>
      <w:proofErr w:type="spellEnd"/>
      <w:proofErr w:type="gramEnd"/>
      <w:r w:rsidRPr="00023A41">
        <w:t xml:space="preserve">, which operates recursively over the forecast horizon. At each step, the network takes the most recent lagged values as inputs, produces a one-step-ahead forecast, and draws a residual at random from the in-sample residuals via bootstrapping </w:t>
      </w:r>
      <w:r>
        <w:t>(</w:t>
      </w:r>
      <w:r w:rsidRPr="00023A41">
        <w:t>making no parametric assumption about the innovation distribution</w:t>
      </w:r>
      <w:r>
        <w:t>)</w:t>
      </w:r>
      <w:r w:rsidRPr="00023A41">
        <w:t>. The simulated value is then appended to the input window and fed back into the network for the subsequent step. This residual bootstrap approach captures uncertainty whilst holding network weights fixed at their trained values, meaning parameter uncertainty is not reflected in the resulting paths.</w:t>
      </w:r>
    </w:p>
    <w:p w14:paraId="0152C9A8" w14:textId="77777777" w:rsidR="001E2EA0" w:rsidRDefault="001E2EA0"/>
    <w:p w14:paraId="6EE3D055" w14:textId="632F2013" w:rsidR="00A1769C" w:rsidRDefault="001E2EA0">
      <w:r>
        <w:t>The GAM was used for energy consumption</w:t>
      </w:r>
      <w:r w:rsidRPr="001E2EA0">
        <w:t>, with energy consumption modelled as a smooth function of time via a penalised regression spline, estimated using Restricted Maximum Likelihood (REML).</w:t>
      </w:r>
      <w:r w:rsidR="00D829FF">
        <w:t xml:space="preserve"> </w:t>
      </w:r>
      <w:r w:rsidRPr="001E2EA0">
        <w:t xml:space="preserve">1,000 future sample paths are generated by sampling from the posterior predictive distribution of the fitted model. Specifically, the linear predictor matrix is evaluated at the future time points, and 1,000 draws of the model coefficients are taken from their multivariate normal posterior approximation using the fitted coefficient vector and its associated covariance matrix. Each coefficient draw is mapped through the linear predictor to produce a smooth trend path, to which observation-level noise is added by drawing from a Gaussian distribution with standard deviation estimated from the model's residual variance. This approach captures both parameter uncertainty, reflected in the variation across coefficient draws, and residual </w:t>
      </w:r>
      <w:r w:rsidRPr="001E2EA0">
        <w:lastRenderedPageBreak/>
        <w:t>uncertainty, introduced through the addition of observation-level noise, producing a set of temporally coherent forecast paths</w:t>
      </w:r>
      <w:r w:rsidR="00081AC8">
        <w:t>.</w:t>
      </w:r>
    </w:p>
    <w:p w14:paraId="376D0A60" w14:textId="2AFCA3E2" w:rsidR="00A1769C" w:rsidRPr="00A1769C" w:rsidRDefault="00A1769C">
      <w:pPr>
        <w:rPr>
          <w:sz w:val="22"/>
          <w:szCs w:val="22"/>
        </w:rPr>
      </w:pPr>
      <w:r w:rsidRPr="00A1769C">
        <w:rPr>
          <w:sz w:val="22"/>
          <w:szCs w:val="22"/>
        </w:rPr>
        <w:t>Hyndman, R.J. and Billah, B., 2003. Unmasking the Theta method. </w:t>
      </w:r>
      <w:r w:rsidRPr="00A1769C">
        <w:rPr>
          <w:i/>
          <w:iCs/>
          <w:sz w:val="22"/>
          <w:szCs w:val="22"/>
        </w:rPr>
        <w:t>International Journal of Forecasting</w:t>
      </w:r>
      <w:r w:rsidRPr="00A1769C">
        <w:rPr>
          <w:sz w:val="22"/>
          <w:szCs w:val="22"/>
        </w:rPr>
        <w:t>, </w:t>
      </w:r>
      <w:r w:rsidRPr="00A1769C">
        <w:rPr>
          <w:i/>
          <w:iCs/>
          <w:sz w:val="22"/>
          <w:szCs w:val="22"/>
        </w:rPr>
        <w:t>19</w:t>
      </w:r>
      <w:r w:rsidRPr="00A1769C">
        <w:rPr>
          <w:sz w:val="22"/>
          <w:szCs w:val="22"/>
        </w:rPr>
        <w:t>(2), pp.287-290.</w:t>
      </w:r>
    </w:p>
    <w:sectPr w:rsidR="00A1769C" w:rsidRPr="00A176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A2F"/>
    <w:rsid w:val="00023A41"/>
    <w:rsid w:val="00081AC8"/>
    <w:rsid w:val="00157D9C"/>
    <w:rsid w:val="001E2EA0"/>
    <w:rsid w:val="003E049E"/>
    <w:rsid w:val="005C3A2F"/>
    <w:rsid w:val="005E73F5"/>
    <w:rsid w:val="006B4B94"/>
    <w:rsid w:val="007B11F3"/>
    <w:rsid w:val="00A1769C"/>
    <w:rsid w:val="00A95753"/>
    <w:rsid w:val="00D40B50"/>
    <w:rsid w:val="00D829FF"/>
    <w:rsid w:val="00E018E8"/>
    <w:rsid w:val="00EE067F"/>
    <w:rsid w:val="00FB7C4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A3074"/>
  <w15:chartTrackingRefBased/>
  <w15:docId w15:val="{1C8EE06A-0D49-4266-BF60-11ACF4A33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A2F"/>
    <w:rPr>
      <w:rFonts w:eastAsiaTheme="majorEastAsia" w:cstheme="majorBidi"/>
      <w:color w:val="272727" w:themeColor="text1" w:themeTint="D8"/>
    </w:rPr>
  </w:style>
  <w:style w:type="paragraph" w:styleId="Title">
    <w:name w:val="Title"/>
    <w:basedOn w:val="Normal"/>
    <w:next w:val="Normal"/>
    <w:link w:val="TitleChar"/>
    <w:uiPriority w:val="10"/>
    <w:qFormat/>
    <w:rsid w:val="005C3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A2F"/>
    <w:pPr>
      <w:spacing w:before="160"/>
      <w:jc w:val="center"/>
    </w:pPr>
    <w:rPr>
      <w:i/>
      <w:iCs/>
      <w:color w:val="404040" w:themeColor="text1" w:themeTint="BF"/>
    </w:rPr>
  </w:style>
  <w:style w:type="character" w:customStyle="1" w:styleId="QuoteChar">
    <w:name w:val="Quote Char"/>
    <w:basedOn w:val="DefaultParagraphFont"/>
    <w:link w:val="Quote"/>
    <w:uiPriority w:val="29"/>
    <w:rsid w:val="005C3A2F"/>
    <w:rPr>
      <w:i/>
      <w:iCs/>
      <w:color w:val="404040" w:themeColor="text1" w:themeTint="BF"/>
    </w:rPr>
  </w:style>
  <w:style w:type="paragraph" w:styleId="ListParagraph">
    <w:name w:val="List Paragraph"/>
    <w:basedOn w:val="Normal"/>
    <w:uiPriority w:val="34"/>
    <w:qFormat/>
    <w:rsid w:val="005C3A2F"/>
    <w:pPr>
      <w:ind w:left="720"/>
      <w:contextualSpacing/>
    </w:pPr>
  </w:style>
  <w:style w:type="character" w:styleId="IntenseEmphasis">
    <w:name w:val="Intense Emphasis"/>
    <w:basedOn w:val="DefaultParagraphFont"/>
    <w:uiPriority w:val="21"/>
    <w:qFormat/>
    <w:rsid w:val="005C3A2F"/>
    <w:rPr>
      <w:i/>
      <w:iCs/>
      <w:color w:val="0F4761" w:themeColor="accent1" w:themeShade="BF"/>
    </w:rPr>
  </w:style>
  <w:style w:type="paragraph" w:styleId="IntenseQuote">
    <w:name w:val="Intense Quote"/>
    <w:basedOn w:val="Normal"/>
    <w:next w:val="Normal"/>
    <w:link w:val="IntenseQuoteChar"/>
    <w:uiPriority w:val="30"/>
    <w:qFormat/>
    <w:rsid w:val="005C3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A2F"/>
    <w:rPr>
      <w:i/>
      <w:iCs/>
      <w:color w:val="0F4761" w:themeColor="accent1" w:themeShade="BF"/>
    </w:rPr>
  </w:style>
  <w:style w:type="character" w:styleId="IntenseReference">
    <w:name w:val="Intense Reference"/>
    <w:basedOn w:val="DefaultParagraphFont"/>
    <w:uiPriority w:val="32"/>
    <w:qFormat/>
    <w:rsid w:val="005C3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084b924-3ab4-4116-9251-9939f695e54c}" enabled="0" method="" siteId="{0084b924-3ab4-4116-9251-9939f695e54c}" removed="1"/>
</clbl:labelList>
</file>

<file path=docProps/app.xml><?xml version="1.0" encoding="utf-8"?>
<Properties xmlns="http://schemas.openxmlformats.org/officeDocument/2006/extended-properties" xmlns:vt="http://schemas.openxmlformats.org/officeDocument/2006/docPropsVTypes">
  <Template>Normal</Template>
  <TotalTime>66</TotalTime>
  <Pages>2</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ULPG:Mullane.Paul</dc:creator>
  <cp:keywords/>
  <dc:description/>
  <cp:lastModifiedBy>ULPG:Mullane.Paul</cp:lastModifiedBy>
  <cp:revision>10</cp:revision>
  <dcterms:created xsi:type="dcterms:W3CDTF">2026-05-05T13:58:00Z</dcterms:created>
  <dcterms:modified xsi:type="dcterms:W3CDTF">2026-05-06T09:45:00Z</dcterms:modified>
</cp:coreProperties>
</file>