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27B2" w14:textId="76A4EF15" w:rsidR="000C5EF7" w:rsidRPr="00B017ED" w:rsidRDefault="007337DD" w:rsidP="001B30A1">
      <w:pPr>
        <w:spacing w:after="0" w:line="276" w:lineRule="auto"/>
        <w:jc w:val="both"/>
        <w:rPr>
          <w:rFonts w:cs="Times New Roman"/>
          <w:b/>
          <w:bCs/>
          <w:sz w:val="24"/>
          <w:szCs w:val="24"/>
          <w:lang w:val="en-GB"/>
        </w:rPr>
      </w:pPr>
      <w:r>
        <w:rPr>
          <w:rFonts w:cs="Times New Roman"/>
          <w:b/>
          <w:bCs/>
          <w:sz w:val="24"/>
          <w:szCs w:val="24"/>
          <w:lang w:val="en-GB"/>
        </w:rPr>
        <w:t>a</w:t>
      </w:r>
      <w:r w:rsidR="00E53134" w:rsidRPr="00B017ED">
        <w:rPr>
          <w:rFonts w:cs="Times New Roman"/>
          <w:b/>
          <w:bCs/>
          <w:sz w:val="24"/>
          <w:szCs w:val="24"/>
          <w:lang w:val="en-GB"/>
        </w:rPr>
        <w:t>Table 1: Variable</w:t>
      </w:r>
      <w:r w:rsidR="003A2710" w:rsidRPr="00B017ED">
        <w:rPr>
          <w:rFonts w:cs="Times New Roman"/>
          <w:b/>
          <w:bCs/>
          <w:sz w:val="24"/>
          <w:szCs w:val="24"/>
          <w:lang w:val="en-GB"/>
        </w:rPr>
        <w:t xml:space="preserve"> Definitions and Sources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1837"/>
        <w:gridCol w:w="3770"/>
        <w:gridCol w:w="2246"/>
      </w:tblGrid>
      <w:tr w:rsidR="00275FD1" w:rsidRPr="001B30A1" w14:paraId="116D05AE" w14:textId="77777777" w:rsidTr="001B30A1">
        <w:tc>
          <w:tcPr>
            <w:tcW w:w="1163" w:type="dxa"/>
            <w:tcBorders>
              <w:top w:val="single" w:sz="4" w:space="0" w:color="auto"/>
              <w:bottom w:val="single" w:sz="4" w:space="0" w:color="auto"/>
            </w:tcBorders>
          </w:tcPr>
          <w:p w14:paraId="5E2F2F47" w14:textId="5DDBB91D" w:rsidR="00275FD1" w:rsidRPr="001B30A1" w:rsidRDefault="00275FD1" w:rsidP="00810A11">
            <w:pPr>
              <w:spacing w:line="276" w:lineRule="auto"/>
              <w:jc w:val="both"/>
              <w:rPr>
                <w:rFonts w:cs="Times New Roman"/>
                <w:b/>
                <w:bCs/>
                <w:sz w:val="20"/>
                <w:szCs w:val="20"/>
                <w:lang w:val="en-GB"/>
              </w:rPr>
            </w:pPr>
            <w:r w:rsidRPr="001B30A1">
              <w:rPr>
                <w:rFonts w:cs="Times New Roman"/>
                <w:b/>
                <w:bCs/>
                <w:sz w:val="20"/>
                <w:szCs w:val="20"/>
                <w:lang w:val="en-GB"/>
              </w:rPr>
              <w:t>Category</w:t>
            </w:r>
          </w:p>
        </w:tc>
        <w:tc>
          <w:tcPr>
            <w:tcW w:w="1837" w:type="dxa"/>
            <w:tcBorders>
              <w:top w:val="single" w:sz="4" w:space="0" w:color="auto"/>
              <w:bottom w:val="single" w:sz="4" w:space="0" w:color="auto"/>
            </w:tcBorders>
          </w:tcPr>
          <w:p w14:paraId="53359919" w14:textId="2D461FAA" w:rsidR="00275FD1" w:rsidRPr="001B30A1" w:rsidRDefault="00275FD1" w:rsidP="00810A11">
            <w:pPr>
              <w:spacing w:line="276" w:lineRule="auto"/>
              <w:jc w:val="both"/>
              <w:rPr>
                <w:rFonts w:cs="Times New Roman"/>
                <w:b/>
                <w:bCs/>
                <w:sz w:val="20"/>
                <w:szCs w:val="20"/>
                <w:lang w:val="en-GB"/>
              </w:rPr>
            </w:pPr>
            <w:r w:rsidRPr="001B30A1">
              <w:rPr>
                <w:rFonts w:cs="Times New Roman"/>
                <w:b/>
                <w:bCs/>
                <w:sz w:val="20"/>
                <w:szCs w:val="20"/>
                <w:lang w:val="en-GB"/>
              </w:rPr>
              <w:t>Variable</w:t>
            </w:r>
          </w:p>
        </w:tc>
        <w:tc>
          <w:tcPr>
            <w:tcW w:w="3770" w:type="dxa"/>
            <w:tcBorders>
              <w:top w:val="single" w:sz="4" w:space="0" w:color="auto"/>
              <w:bottom w:val="single" w:sz="4" w:space="0" w:color="auto"/>
            </w:tcBorders>
          </w:tcPr>
          <w:p w14:paraId="4A3F39E9" w14:textId="73EB1DF6" w:rsidR="00275FD1" w:rsidRPr="001B30A1" w:rsidRDefault="00275FD1" w:rsidP="00810A11">
            <w:pPr>
              <w:spacing w:line="276" w:lineRule="auto"/>
              <w:jc w:val="both"/>
              <w:rPr>
                <w:rFonts w:cs="Times New Roman"/>
                <w:b/>
                <w:bCs/>
                <w:sz w:val="20"/>
                <w:szCs w:val="20"/>
                <w:lang w:val="en-GB"/>
              </w:rPr>
            </w:pPr>
            <w:r w:rsidRPr="001B30A1">
              <w:rPr>
                <w:rFonts w:cs="Times New Roman"/>
                <w:b/>
                <w:bCs/>
                <w:sz w:val="20"/>
                <w:szCs w:val="20"/>
                <w:lang w:val="en-GB"/>
              </w:rPr>
              <w:t xml:space="preserve">Definition &amp; </w:t>
            </w:r>
            <w:r w:rsidR="001B5FEE" w:rsidRPr="001B30A1">
              <w:rPr>
                <w:rFonts w:cs="Times New Roman"/>
                <w:b/>
                <w:bCs/>
                <w:sz w:val="20"/>
                <w:szCs w:val="20"/>
                <w:lang w:val="en-GB"/>
              </w:rPr>
              <w:t>Transformation</w:t>
            </w:r>
          </w:p>
        </w:tc>
        <w:tc>
          <w:tcPr>
            <w:tcW w:w="2246" w:type="dxa"/>
            <w:tcBorders>
              <w:top w:val="single" w:sz="4" w:space="0" w:color="auto"/>
              <w:bottom w:val="single" w:sz="4" w:space="0" w:color="auto"/>
            </w:tcBorders>
          </w:tcPr>
          <w:p w14:paraId="769D73B6" w14:textId="179E694B" w:rsidR="00275FD1" w:rsidRPr="001B30A1" w:rsidRDefault="00EE3ABB" w:rsidP="00810A11">
            <w:pPr>
              <w:spacing w:line="276" w:lineRule="auto"/>
              <w:jc w:val="both"/>
              <w:rPr>
                <w:rFonts w:cs="Times New Roman"/>
                <w:b/>
                <w:bCs/>
                <w:sz w:val="20"/>
                <w:szCs w:val="20"/>
                <w:lang w:val="en-GB"/>
              </w:rPr>
            </w:pPr>
            <w:r w:rsidRPr="001B30A1">
              <w:rPr>
                <w:rFonts w:cs="Times New Roman"/>
                <w:b/>
                <w:bCs/>
                <w:sz w:val="20"/>
                <w:szCs w:val="20"/>
                <w:lang w:val="en-GB"/>
              </w:rPr>
              <w:t>Data Source</w:t>
            </w:r>
          </w:p>
        </w:tc>
      </w:tr>
      <w:tr w:rsidR="00275FD1" w:rsidRPr="001B30A1" w14:paraId="22B7B0D5" w14:textId="77777777" w:rsidTr="001B30A1">
        <w:trPr>
          <w:trHeight w:val="1164"/>
        </w:trPr>
        <w:tc>
          <w:tcPr>
            <w:tcW w:w="1163" w:type="dxa"/>
            <w:tcBorders>
              <w:top w:val="single" w:sz="4" w:space="0" w:color="auto"/>
            </w:tcBorders>
          </w:tcPr>
          <w:p w14:paraId="1E7FA1BB" w14:textId="7FE176E7" w:rsidR="00275FD1" w:rsidRPr="001B30A1" w:rsidRDefault="00EE3ABB" w:rsidP="00810A11">
            <w:pPr>
              <w:spacing w:line="276" w:lineRule="auto"/>
              <w:jc w:val="both"/>
              <w:rPr>
                <w:rFonts w:cs="Times New Roman"/>
                <w:sz w:val="20"/>
                <w:szCs w:val="20"/>
                <w:lang w:val="en-GB"/>
              </w:rPr>
            </w:pPr>
            <w:r w:rsidRPr="001B30A1">
              <w:rPr>
                <w:rFonts w:cs="Times New Roman"/>
                <w:sz w:val="20"/>
                <w:szCs w:val="20"/>
                <w:lang w:val="en-GB"/>
              </w:rPr>
              <w:t>Target</w:t>
            </w:r>
          </w:p>
        </w:tc>
        <w:tc>
          <w:tcPr>
            <w:tcW w:w="1837" w:type="dxa"/>
            <w:tcBorders>
              <w:top w:val="single" w:sz="4" w:space="0" w:color="auto"/>
            </w:tcBorders>
          </w:tcPr>
          <w:p w14:paraId="216C3B48" w14:textId="04CD4DD8" w:rsidR="00275FD1" w:rsidRPr="001B30A1" w:rsidRDefault="001B5FEE" w:rsidP="00810A11">
            <w:pPr>
              <w:spacing w:line="276" w:lineRule="auto"/>
              <w:jc w:val="both"/>
              <w:rPr>
                <w:rFonts w:cs="Times New Roman"/>
                <w:sz w:val="20"/>
                <w:szCs w:val="20"/>
                <w:lang w:val="en-GB"/>
              </w:rPr>
            </w:pPr>
            <w:r w:rsidRPr="001B30A1">
              <w:rPr>
                <w:rFonts w:cs="Times New Roman"/>
                <w:sz w:val="20"/>
                <w:szCs w:val="20"/>
                <w:lang w:val="en-GB"/>
              </w:rPr>
              <w:t>Sale Price</w:t>
            </w:r>
          </w:p>
        </w:tc>
        <w:tc>
          <w:tcPr>
            <w:tcW w:w="3770" w:type="dxa"/>
            <w:tcBorders>
              <w:top w:val="single" w:sz="4" w:space="0" w:color="auto"/>
            </w:tcBorders>
          </w:tcPr>
          <w:p w14:paraId="502B0369" w14:textId="4C5D5E43" w:rsidR="00275FD1" w:rsidRPr="001B30A1" w:rsidRDefault="001B5FEE" w:rsidP="00810A11">
            <w:pPr>
              <w:spacing w:line="276" w:lineRule="auto"/>
              <w:jc w:val="both"/>
              <w:rPr>
                <w:rFonts w:cs="Times New Roman"/>
                <w:sz w:val="20"/>
                <w:szCs w:val="20"/>
                <w:lang w:val="en-GB"/>
              </w:rPr>
            </w:pPr>
            <w:r w:rsidRPr="001B30A1">
              <w:rPr>
                <w:rFonts w:cs="Times New Roman"/>
                <w:sz w:val="20"/>
                <w:szCs w:val="20"/>
                <w:lang w:val="en-GB"/>
              </w:rPr>
              <w:t>Transaction price of residential property</w:t>
            </w:r>
            <w:r w:rsidR="00424FDD" w:rsidRPr="001B30A1">
              <w:rPr>
                <w:rFonts w:cs="Times New Roman"/>
                <w:sz w:val="20"/>
                <w:szCs w:val="20"/>
                <w:lang w:val="en-GB"/>
              </w:rPr>
              <w:t xml:space="preserve"> </w:t>
            </w:r>
            <w:r w:rsidR="00424FDD" w:rsidRPr="001B30A1">
              <w:rPr>
                <w:rFonts w:cs="Times New Roman"/>
                <w:sz w:val="20"/>
                <w:szCs w:val="20"/>
              </w:rPr>
              <w:t>(£)</w:t>
            </w:r>
            <w:r w:rsidR="00424FDD" w:rsidRPr="001B30A1">
              <w:rPr>
                <w:rFonts w:cs="Times New Roman"/>
                <w:sz w:val="20"/>
                <w:szCs w:val="20"/>
                <w:lang w:val="en-GB"/>
              </w:rPr>
              <w:t xml:space="preserve"> - </w:t>
            </w:r>
            <w:r w:rsidR="00424FDD" w:rsidRPr="001B30A1">
              <w:rPr>
                <w:rFonts w:cs="Times New Roman"/>
                <w:sz w:val="20"/>
                <w:szCs w:val="20"/>
              </w:rPr>
              <w:t>Log-transformed for modelling</w:t>
            </w:r>
          </w:p>
        </w:tc>
        <w:tc>
          <w:tcPr>
            <w:tcW w:w="2246" w:type="dxa"/>
            <w:tcBorders>
              <w:top w:val="single" w:sz="4" w:space="0" w:color="auto"/>
            </w:tcBorders>
          </w:tcPr>
          <w:p w14:paraId="1D2EAD36" w14:textId="2B6EEEC1" w:rsidR="00275FD1" w:rsidRPr="001B30A1" w:rsidRDefault="00424FDD" w:rsidP="00810A11">
            <w:pPr>
              <w:spacing w:line="276" w:lineRule="auto"/>
              <w:jc w:val="both"/>
              <w:rPr>
                <w:rFonts w:cs="Times New Roman"/>
                <w:sz w:val="20"/>
                <w:szCs w:val="20"/>
                <w:lang w:val="en-GB"/>
              </w:rPr>
            </w:pPr>
            <w:r w:rsidRPr="001B30A1">
              <w:rPr>
                <w:rFonts w:cs="Times New Roman"/>
                <w:sz w:val="20"/>
                <w:szCs w:val="20"/>
              </w:rPr>
              <w:t>UK Price Paid Data (PPD)</w:t>
            </w:r>
          </w:p>
        </w:tc>
      </w:tr>
      <w:tr w:rsidR="00275FD1" w:rsidRPr="001B30A1" w14:paraId="005F5737" w14:textId="77777777" w:rsidTr="001B30A1">
        <w:tc>
          <w:tcPr>
            <w:tcW w:w="1163" w:type="dxa"/>
          </w:tcPr>
          <w:p w14:paraId="7C07A867" w14:textId="29BD5091" w:rsidR="00275FD1" w:rsidRPr="001B30A1" w:rsidRDefault="005A3594" w:rsidP="00810A11">
            <w:pPr>
              <w:spacing w:line="276" w:lineRule="auto"/>
              <w:jc w:val="both"/>
              <w:rPr>
                <w:rFonts w:cs="Times New Roman"/>
                <w:sz w:val="20"/>
                <w:szCs w:val="20"/>
                <w:lang w:val="en-GB"/>
              </w:rPr>
            </w:pPr>
            <w:r w:rsidRPr="001B30A1">
              <w:rPr>
                <w:rFonts w:cs="Times New Roman"/>
                <w:sz w:val="20"/>
                <w:szCs w:val="20"/>
              </w:rPr>
              <w:t>Climate Exposure</w:t>
            </w:r>
          </w:p>
        </w:tc>
        <w:tc>
          <w:tcPr>
            <w:tcW w:w="1837" w:type="dxa"/>
          </w:tcPr>
          <w:p w14:paraId="4CD46D21" w14:textId="2DE75867" w:rsidR="00275FD1" w:rsidRPr="001B30A1" w:rsidRDefault="00D4603F" w:rsidP="00810A11">
            <w:pPr>
              <w:spacing w:line="276" w:lineRule="auto"/>
              <w:jc w:val="both"/>
              <w:rPr>
                <w:rFonts w:cs="Times New Roman"/>
                <w:sz w:val="20"/>
                <w:szCs w:val="20"/>
                <w:lang w:val="en-GB"/>
              </w:rPr>
            </w:pPr>
            <w:r w:rsidRPr="001B30A1">
              <w:rPr>
                <w:rFonts w:cs="Times New Roman"/>
                <w:sz w:val="20"/>
                <w:szCs w:val="20"/>
              </w:rPr>
              <w:t>Elevation (m)</w:t>
            </w:r>
          </w:p>
        </w:tc>
        <w:tc>
          <w:tcPr>
            <w:tcW w:w="3770" w:type="dxa"/>
          </w:tcPr>
          <w:p w14:paraId="0C6B729E" w14:textId="25FCFA72" w:rsidR="00275FD1" w:rsidRPr="001B30A1" w:rsidRDefault="00C02368" w:rsidP="00810A11">
            <w:pPr>
              <w:spacing w:line="276" w:lineRule="auto"/>
              <w:jc w:val="both"/>
              <w:rPr>
                <w:rFonts w:cs="Times New Roman"/>
                <w:sz w:val="20"/>
                <w:szCs w:val="20"/>
                <w:lang w:val="en-GB"/>
              </w:rPr>
            </w:pPr>
            <w:r w:rsidRPr="001B30A1">
              <w:rPr>
                <w:rFonts w:cs="Times New Roman"/>
                <w:sz w:val="20"/>
                <w:szCs w:val="20"/>
              </w:rPr>
              <w:t>Mean ground elevation at property location</w:t>
            </w:r>
            <w:r w:rsidRPr="001B30A1">
              <w:rPr>
                <w:rFonts w:cs="Times New Roman"/>
                <w:sz w:val="20"/>
                <w:szCs w:val="20"/>
                <w:lang w:val="en-GB"/>
              </w:rPr>
              <w:t xml:space="preserve"> – Raw (meters)</w:t>
            </w:r>
          </w:p>
        </w:tc>
        <w:tc>
          <w:tcPr>
            <w:tcW w:w="2246" w:type="dxa"/>
          </w:tcPr>
          <w:p w14:paraId="1118D2E5" w14:textId="14561C51" w:rsidR="00275FD1" w:rsidRPr="001B30A1" w:rsidRDefault="001D4349" w:rsidP="00810A11">
            <w:pPr>
              <w:spacing w:line="276" w:lineRule="auto"/>
              <w:jc w:val="both"/>
              <w:rPr>
                <w:rFonts w:cs="Times New Roman"/>
                <w:sz w:val="20"/>
                <w:szCs w:val="20"/>
                <w:lang w:val="en-GB"/>
              </w:rPr>
            </w:pPr>
            <w:r w:rsidRPr="001B30A1">
              <w:rPr>
                <w:rFonts w:cs="Times New Roman"/>
                <w:sz w:val="20"/>
                <w:szCs w:val="20"/>
                <w:lang w:val="en-GB"/>
              </w:rPr>
              <w:t>Ordinance Survey Open Data – OS Terrain 5</w:t>
            </w:r>
          </w:p>
        </w:tc>
      </w:tr>
      <w:tr w:rsidR="00275FD1" w:rsidRPr="001B30A1" w14:paraId="08F093A9" w14:textId="77777777" w:rsidTr="001B30A1">
        <w:tc>
          <w:tcPr>
            <w:tcW w:w="1163" w:type="dxa"/>
          </w:tcPr>
          <w:p w14:paraId="64A1790C" w14:textId="77777777" w:rsidR="00275FD1" w:rsidRPr="001B30A1" w:rsidRDefault="00275FD1" w:rsidP="00810A11">
            <w:pPr>
              <w:spacing w:line="276" w:lineRule="auto"/>
              <w:jc w:val="both"/>
              <w:rPr>
                <w:rFonts w:cs="Times New Roman"/>
                <w:sz w:val="20"/>
                <w:szCs w:val="20"/>
                <w:lang w:val="en-GB"/>
              </w:rPr>
            </w:pPr>
          </w:p>
        </w:tc>
        <w:tc>
          <w:tcPr>
            <w:tcW w:w="1837" w:type="dxa"/>
          </w:tcPr>
          <w:p w14:paraId="21ADB7AD" w14:textId="589DFDE0" w:rsidR="00275FD1" w:rsidRPr="001B30A1" w:rsidRDefault="00C02368" w:rsidP="00810A11">
            <w:pPr>
              <w:spacing w:line="276" w:lineRule="auto"/>
              <w:jc w:val="both"/>
              <w:rPr>
                <w:rFonts w:cs="Times New Roman"/>
                <w:sz w:val="20"/>
                <w:szCs w:val="20"/>
                <w:lang w:val="en-GB"/>
              </w:rPr>
            </w:pPr>
            <w:r w:rsidRPr="001B30A1">
              <w:rPr>
                <w:rFonts w:cs="Times New Roman"/>
                <w:sz w:val="20"/>
                <w:szCs w:val="20"/>
              </w:rPr>
              <w:t>Distance to River (m)</w:t>
            </w:r>
          </w:p>
        </w:tc>
        <w:tc>
          <w:tcPr>
            <w:tcW w:w="3770" w:type="dxa"/>
          </w:tcPr>
          <w:p w14:paraId="206C2272" w14:textId="4B85F088" w:rsidR="00275FD1" w:rsidRPr="001B30A1" w:rsidRDefault="00C02368" w:rsidP="00810A11">
            <w:pPr>
              <w:spacing w:line="276" w:lineRule="auto"/>
              <w:jc w:val="both"/>
              <w:rPr>
                <w:rFonts w:cs="Times New Roman"/>
                <w:sz w:val="20"/>
                <w:szCs w:val="20"/>
                <w:lang w:val="en-GB"/>
              </w:rPr>
            </w:pPr>
            <w:r w:rsidRPr="001B30A1">
              <w:rPr>
                <w:rFonts w:cs="Times New Roman"/>
                <w:sz w:val="20"/>
                <w:szCs w:val="20"/>
              </w:rPr>
              <w:t>Euclidean distance to nearest tidal frontage</w:t>
            </w:r>
            <w:r w:rsidRPr="001B30A1">
              <w:rPr>
                <w:rFonts w:cs="Times New Roman"/>
                <w:sz w:val="20"/>
                <w:szCs w:val="20"/>
                <w:lang w:val="en-GB"/>
              </w:rPr>
              <w:t xml:space="preserve"> - Raw (meters)</w:t>
            </w:r>
            <w:r w:rsidR="00BD2B8A" w:rsidRPr="001B30A1">
              <w:rPr>
                <w:rFonts w:cs="Times New Roman"/>
                <w:sz w:val="20"/>
                <w:szCs w:val="20"/>
                <w:lang w:val="en-GB"/>
              </w:rPr>
              <w:t>. Log transformed for modelling</w:t>
            </w:r>
          </w:p>
        </w:tc>
        <w:tc>
          <w:tcPr>
            <w:tcW w:w="2246" w:type="dxa"/>
          </w:tcPr>
          <w:p w14:paraId="6F722489" w14:textId="7B90A325" w:rsidR="00275FD1" w:rsidRPr="001B30A1" w:rsidRDefault="001D4349" w:rsidP="00810A11">
            <w:pPr>
              <w:spacing w:line="276" w:lineRule="auto"/>
              <w:jc w:val="both"/>
              <w:rPr>
                <w:rFonts w:cs="Times New Roman"/>
                <w:sz w:val="20"/>
                <w:szCs w:val="20"/>
                <w:lang w:val="en-GB"/>
              </w:rPr>
            </w:pPr>
            <w:r w:rsidRPr="001B30A1">
              <w:rPr>
                <w:rFonts w:cs="Times New Roman"/>
                <w:sz w:val="20"/>
                <w:szCs w:val="20"/>
                <w:lang w:val="en-GB"/>
              </w:rPr>
              <w:t>Ordinance Survey Open Data – OS Terrain 5</w:t>
            </w:r>
          </w:p>
        </w:tc>
      </w:tr>
      <w:tr w:rsidR="00275FD1" w:rsidRPr="001B30A1" w14:paraId="2E8E33E9" w14:textId="77777777" w:rsidTr="001B30A1">
        <w:tc>
          <w:tcPr>
            <w:tcW w:w="1163" w:type="dxa"/>
          </w:tcPr>
          <w:p w14:paraId="105D5F7D" w14:textId="77777777" w:rsidR="00275FD1" w:rsidRPr="001B30A1" w:rsidRDefault="00275FD1" w:rsidP="00810A11">
            <w:pPr>
              <w:spacing w:line="276" w:lineRule="auto"/>
              <w:jc w:val="both"/>
              <w:rPr>
                <w:rFonts w:cs="Times New Roman"/>
                <w:sz w:val="20"/>
                <w:szCs w:val="20"/>
                <w:lang w:val="en-GB"/>
              </w:rPr>
            </w:pPr>
          </w:p>
        </w:tc>
        <w:tc>
          <w:tcPr>
            <w:tcW w:w="1837" w:type="dxa"/>
          </w:tcPr>
          <w:p w14:paraId="6924EE83" w14:textId="4A7F94D8" w:rsidR="00275FD1" w:rsidRPr="001B30A1" w:rsidRDefault="000C050C" w:rsidP="00810A11">
            <w:pPr>
              <w:spacing w:line="276" w:lineRule="auto"/>
              <w:jc w:val="both"/>
              <w:rPr>
                <w:rFonts w:cs="Times New Roman"/>
                <w:sz w:val="20"/>
                <w:szCs w:val="20"/>
                <w:lang w:val="en-GB"/>
              </w:rPr>
            </w:pPr>
            <w:r w:rsidRPr="001B30A1">
              <w:rPr>
                <w:rFonts w:cs="Times New Roman"/>
                <w:sz w:val="20"/>
                <w:szCs w:val="20"/>
              </w:rPr>
              <w:t>Flood Zone 3 (High Risk)</w:t>
            </w:r>
          </w:p>
        </w:tc>
        <w:tc>
          <w:tcPr>
            <w:tcW w:w="3770" w:type="dxa"/>
          </w:tcPr>
          <w:p w14:paraId="48DF08F5" w14:textId="27BCE415" w:rsidR="00275FD1" w:rsidRPr="001B30A1" w:rsidRDefault="00170CC3" w:rsidP="00810A11">
            <w:pPr>
              <w:spacing w:line="276" w:lineRule="auto"/>
              <w:jc w:val="both"/>
              <w:rPr>
                <w:rFonts w:cs="Times New Roman"/>
                <w:sz w:val="20"/>
                <w:szCs w:val="20"/>
                <w:lang w:val="en-GB"/>
              </w:rPr>
            </w:pPr>
            <w:r w:rsidRPr="001B30A1">
              <w:rPr>
                <w:rFonts w:cs="Times New Roman"/>
                <w:sz w:val="20"/>
                <w:szCs w:val="20"/>
              </w:rPr>
              <w:t>Binary indicator: 1 if within Flood Zone 3 (&gt;1% annual probability), 0 otherwise.</w:t>
            </w:r>
          </w:p>
        </w:tc>
        <w:tc>
          <w:tcPr>
            <w:tcW w:w="2246" w:type="dxa"/>
          </w:tcPr>
          <w:p w14:paraId="2F677207" w14:textId="70B755AF" w:rsidR="00275FD1" w:rsidRPr="001B30A1" w:rsidRDefault="0038551E" w:rsidP="00810A11">
            <w:pPr>
              <w:spacing w:line="276" w:lineRule="auto"/>
              <w:jc w:val="both"/>
              <w:rPr>
                <w:rFonts w:cs="Times New Roman"/>
                <w:sz w:val="20"/>
                <w:szCs w:val="20"/>
                <w:lang w:val="en-GB"/>
              </w:rPr>
            </w:pPr>
            <w:r w:rsidRPr="001B30A1">
              <w:rPr>
                <w:rFonts w:cs="Times New Roman"/>
                <w:sz w:val="20"/>
                <w:szCs w:val="20"/>
              </w:rPr>
              <w:t>Environment Agency Flood Map</w:t>
            </w:r>
          </w:p>
        </w:tc>
      </w:tr>
      <w:tr w:rsidR="00275FD1" w:rsidRPr="001B30A1" w14:paraId="06F5074A" w14:textId="77777777" w:rsidTr="001B30A1">
        <w:tc>
          <w:tcPr>
            <w:tcW w:w="1163" w:type="dxa"/>
          </w:tcPr>
          <w:p w14:paraId="206A426B" w14:textId="77777777" w:rsidR="00275FD1" w:rsidRPr="001B30A1" w:rsidRDefault="00275FD1" w:rsidP="00810A11">
            <w:pPr>
              <w:spacing w:line="276" w:lineRule="auto"/>
              <w:jc w:val="both"/>
              <w:rPr>
                <w:rFonts w:cs="Times New Roman"/>
                <w:sz w:val="20"/>
                <w:szCs w:val="20"/>
                <w:lang w:val="en-GB"/>
              </w:rPr>
            </w:pPr>
          </w:p>
        </w:tc>
        <w:tc>
          <w:tcPr>
            <w:tcW w:w="1837" w:type="dxa"/>
          </w:tcPr>
          <w:p w14:paraId="2782D55E" w14:textId="684D3D9D" w:rsidR="00275FD1" w:rsidRPr="001B30A1" w:rsidRDefault="00170CC3" w:rsidP="00810A11">
            <w:pPr>
              <w:spacing w:line="276" w:lineRule="auto"/>
              <w:jc w:val="both"/>
              <w:rPr>
                <w:rFonts w:cs="Times New Roman"/>
                <w:sz w:val="20"/>
                <w:szCs w:val="20"/>
                <w:lang w:val="en-GB"/>
              </w:rPr>
            </w:pPr>
            <w:r w:rsidRPr="001B30A1">
              <w:rPr>
                <w:rFonts w:cs="Times New Roman"/>
                <w:sz w:val="20"/>
                <w:szCs w:val="20"/>
              </w:rPr>
              <w:t>Flood Zone 2 (Moderate Risk)</w:t>
            </w:r>
          </w:p>
        </w:tc>
        <w:tc>
          <w:tcPr>
            <w:tcW w:w="3770" w:type="dxa"/>
          </w:tcPr>
          <w:p w14:paraId="61405076" w14:textId="50F3B470" w:rsidR="00275FD1" w:rsidRPr="001B30A1" w:rsidRDefault="00170CC3" w:rsidP="00810A11">
            <w:pPr>
              <w:spacing w:line="276" w:lineRule="auto"/>
              <w:jc w:val="both"/>
              <w:rPr>
                <w:rFonts w:cs="Times New Roman"/>
                <w:sz w:val="20"/>
                <w:szCs w:val="20"/>
                <w:lang w:val="en-GB"/>
              </w:rPr>
            </w:pPr>
            <w:r w:rsidRPr="001B30A1">
              <w:rPr>
                <w:rFonts w:cs="Times New Roman"/>
                <w:sz w:val="20"/>
                <w:szCs w:val="20"/>
              </w:rPr>
              <w:t xml:space="preserve">Binary indicator: 1 if within Flood Zone </w:t>
            </w:r>
            <w:r w:rsidRPr="001B30A1">
              <w:rPr>
                <w:rFonts w:cs="Times New Roman"/>
                <w:sz w:val="20"/>
                <w:szCs w:val="20"/>
                <w:lang w:val="en-GB"/>
              </w:rPr>
              <w:t xml:space="preserve">2, </w:t>
            </w:r>
            <w:r w:rsidRPr="001B30A1">
              <w:rPr>
                <w:rFonts w:cs="Times New Roman"/>
                <w:sz w:val="20"/>
                <w:szCs w:val="20"/>
              </w:rPr>
              <w:t>0 otherwise.</w:t>
            </w:r>
          </w:p>
        </w:tc>
        <w:tc>
          <w:tcPr>
            <w:tcW w:w="2246" w:type="dxa"/>
          </w:tcPr>
          <w:p w14:paraId="7B5BAC7C" w14:textId="1C895D5A" w:rsidR="00275FD1" w:rsidRPr="001B30A1" w:rsidRDefault="0038551E" w:rsidP="00810A11">
            <w:pPr>
              <w:spacing w:line="276" w:lineRule="auto"/>
              <w:jc w:val="both"/>
              <w:rPr>
                <w:rFonts w:cs="Times New Roman"/>
                <w:sz w:val="20"/>
                <w:szCs w:val="20"/>
                <w:lang w:val="en-GB"/>
              </w:rPr>
            </w:pPr>
            <w:r w:rsidRPr="001B30A1">
              <w:rPr>
                <w:rFonts w:cs="Times New Roman"/>
                <w:sz w:val="20"/>
                <w:szCs w:val="20"/>
              </w:rPr>
              <w:t>Environment Agency Flood Map</w:t>
            </w:r>
          </w:p>
        </w:tc>
      </w:tr>
      <w:tr w:rsidR="0038551E" w:rsidRPr="001B30A1" w14:paraId="4FCE52AC" w14:textId="77777777" w:rsidTr="001B30A1">
        <w:tc>
          <w:tcPr>
            <w:tcW w:w="1163" w:type="dxa"/>
          </w:tcPr>
          <w:p w14:paraId="7A9D6BB4" w14:textId="4F75E76B" w:rsidR="0038551E" w:rsidRPr="001B30A1" w:rsidRDefault="00177468" w:rsidP="00810A11">
            <w:pPr>
              <w:spacing w:line="276" w:lineRule="auto"/>
              <w:jc w:val="both"/>
              <w:rPr>
                <w:rFonts w:cs="Times New Roman"/>
                <w:sz w:val="20"/>
                <w:szCs w:val="20"/>
                <w:lang w:val="en-GB"/>
              </w:rPr>
            </w:pPr>
            <w:r w:rsidRPr="001B30A1">
              <w:rPr>
                <w:rFonts w:cs="Times New Roman"/>
                <w:sz w:val="20"/>
                <w:szCs w:val="20"/>
                <w:lang w:val="en-GB"/>
              </w:rPr>
              <w:t>Adaptive Capacity</w:t>
            </w:r>
          </w:p>
        </w:tc>
        <w:tc>
          <w:tcPr>
            <w:tcW w:w="1837" w:type="dxa"/>
          </w:tcPr>
          <w:p w14:paraId="0439D380" w14:textId="06CA1EB2" w:rsidR="0038551E" w:rsidRPr="001B30A1" w:rsidRDefault="00BD2B8A" w:rsidP="00810A11">
            <w:pPr>
              <w:spacing w:line="276" w:lineRule="auto"/>
              <w:jc w:val="both"/>
              <w:rPr>
                <w:rFonts w:cs="Times New Roman"/>
                <w:sz w:val="20"/>
                <w:szCs w:val="20"/>
              </w:rPr>
            </w:pPr>
            <w:r w:rsidRPr="001B30A1">
              <w:rPr>
                <w:rFonts w:cs="Times New Roman"/>
                <w:sz w:val="20"/>
                <w:szCs w:val="20"/>
              </w:rPr>
              <w:t>EPC</w:t>
            </w:r>
            <w:r w:rsidR="00097338" w:rsidRPr="001B30A1">
              <w:rPr>
                <w:rFonts w:cs="Times New Roman"/>
                <w:sz w:val="20"/>
                <w:szCs w:val="20"/>
                <w:lang w:val="en-GB"/>
              </w:rPr>
              <w:t xml:space="preserve"> </w:t>
            </w:r>
            <w:r w:rsidRPr="001B30A1">
              <w:rPr>
                <w:rFonts w:cs="Times New Roman"/>
                <w:sz w:val="20"/>
                <w:szCs w:val="20"/>
              </w:rPr>
              <w:t>Rating</w:t>
            </w:r>
          </w:p>
        </w:tc>
        <w:tc>
          <w:tcPr>
            <w:tcW w:w="3770" w:type="dxa"/>
          </w:tcPr>
          <w:p w14:paraId="397399C3" w14:textId="7976EFD2" w:rsidR="0038551E" w:rsidRPr="001B30A1" w:rsidRDefault="00097338" w:rsidP="00810A11">
            <w:pPr>
              <w:spacing w:line="276" w:lineRule="auto"/>
              <w:jc w:val="both"/>
              <w:rPr>
                <w:rFonts w:cs="Times New Roman"/>
                <w:sz w:val="20"/>
                <w:szCs w:val="20"/>
                <w:lang w:val="en-GB"/>
              </w:rPr>
            </w:pPr>
            <w:r w:rsidRPr="001B30A1">
              <w:rPr>
                <w:rFonts w:cs="Times New Roman"/>
                <w:sz w:val="20"/>
                <w:szCs w:val="20"/>
                <w:lang w:val="en-GB"/>
              </w:rPr>
              <w:t>E</w:t>
            </w:r>
            <w:r w:rsidRPr="001B30A1">
              <w:rPr>
                <w:rFonts w:cs="Times New Roman"/>
                <w:sz w:val="20"/>
                <w:szCs w:val="20"/>
              </w:rPr>
              <w:t>nergy efficiency score</w:t>
            </w:r>
          </w:p>
        </w:tc>
        <w:tc>
          <w:tcPr>
            <w:tcW w:w="2246" w:type="dxa"/>
          </w:tcPr>
          <w:p w14:paraId="22DE9386" w14:textId="790A5F12" w:rsidR="0038551E" w:rsidRPr="001B30A1" w:rsidRDefault="00097338" w:rsidP="00097338">
            <w:pPr>
              <w:spacing w:line="276" w:lineRule="auto"/>
              <w:rPr>
                <w:rFonts w:cs="Times New Roman"/>
                <w:sz w:val="20"/>
                <w:szCs w:val="20"/>
                <w:lang w:val="en-GB"/>
              </w:rPr>
            </w:pPr>
            <w:r w:rsidRPr="001B30A1">
              <w:rPr>
                <w:rFonts w:cs="Times New Roman"/>
                <w:sz w:val="20"/>
                <w:szCs w:val="20"/>
              </w:rPr>
              <w:t>EPC Register</w:t>
            </w:r>
          </w:p>
        </w:tc>
      </w:tr>
      <w:tr w:rsidR="0038551E" w:rsidRPr="001B30A1" w14:paraId="39CB2017" w14:textId="77777777" w:rsidTr="001B30A1">
        <w:tc>
          <w:tcPr>
            <w:tcW w:w="1163" w:type="dxa"/>
          </w:tcPr>
          <w:p w14:paraId="3E491BA8" w14:textId="77777777" w:rsidR="0038551E" w:rsidRPr="001B30A1" w:rsidRDefault="0038551E" w:rsidP="00810A11">
            <w:pPr>
              <w:spacing w:line="276" w:lineRule="auto"/>
              <w:jc w:val="both"/>
              <w:rPr>
                <w:rFonts w:cs="Times New Roman"/>
                <w:sz w:val="20"/>
                <w:szCs w:val="20"/>
                <w:lang w:val="en-GB"/>
              </w:rPr>
            </w:pPr>
          </w:p>
        </w:tc>
        <w:tc>
          <w:tcPr>
            <w:tcW w:w="1837" w:type="dxa"/>
          </w:tcPr>
          <w:p w14:paraId="15B6C3D1" w14:textId="21059017" w:rsidR="0038551E" w:rsidRPr="001B30A1" w:rsidRDefault="00F84598" w:rsidP="00810A11">
            <w:pPr>
              <w:spacing w:line="276" w:lineRule="auto"/>
              <w:jc w:val="both"/>
              <w:rPr>
                <w:rFonts w:cs="Times New Roman"/>
                <w:sz w:val="20"/>
                <w:szCs w:val="20"/>
              </w:rPr>
            </w:pPr>
            <w:r w:rsidRPr="001B30A1">
              <w:rPr>
                <w:rFonts w:cs="Times New Roman"/>
                <w:sz w:val="20"/>
                <w:szCs w:val="20"/>
              </w:rPr>
              <w:t>PMU</w:t>
            </w:r>
          </w:p>
        </w:tc>
        <w:tc>
          <w:tcPr>
            <w:tcW w:w="3770" w:type="dxa"/>
          </w:tcPr>
          <w:p w14:paraId="1F82DCDA" w14:textId="5695CC3A" w:rsidR="0038551E" w:rsidRPr="001B30A1" w:rsidRDefault="00F84598" w:rsidP="00810A11">
            <w:pPr>
              <w:spacing w:line="276" w:lineRule="auto"/>
              <w:jc w:val="both"/>
              <w:rPr>
                <w:rFonts w:cs="Times New Roman"/>
                <w:sz w:val="20"/>
                <w:szCs w:val="20"/>
              </w:rPr>
            </w:pPr>
            <w:r w:rsidRPr="001B30A1">
              <w:rPr>
                <w:rFonts w:cs="Times New Roman"/>
                <w:sz w:val="20"/>
                <w:szCs w:val="20"/>
              </w:rPr>
              <w:t>Spatial indicator for location within a TE2100 Policy Management Unit.</w:t>
            </w:r>
          </w:p>
        </w:tc>
        <w:tc>
          <w:tcPr>
            <w:tcW w:w="2246" w:type="dxa"/>
          </w:tcPr>
          <w:p w14:paraId="7A5F6C50" w14:textId="76107940" w:rsidR="0038551E" w:rsidRPr="001B30A1" w:rsidRDefault="00F84598" w:rsidP="00810A11">
            <w:pPr>
              <w:spacing w:line="276" w:lineRule="auto"/>
              <w:jc w:val="both"/>
              <w:rPr>
                <w:rFonts w:cs="Times New Roman"/>
                <w:sz w:val="20"/>
                <w:szCs w:val="20"/>
                <w:lang w:val="en-GB"/>
              </w:rPr>
            </w:pPr>
            <w:r w:rsidRPr="001B30A1">
              <w:rPr>
                <w:rFonts w:cs="Times New Roman"/>
                <w:sz w:val="20"/>
                <w:szCs w:val="20"/>
                <w:lang w:val="en-GB"/>
              </w:rPr>
              <w:t>TE2100 Plan</w:t>
            </w:r>
          </w:p>
        </w:tc>
      </w:tr>
      <w:tr w:rsidR="0038551E" w:rsidRPr="001B30A1" w14:paraId="0C4873A5" w14:textId="77777777" w:rsidTr="001B30A1">
        <w:tc>
          <w:tcPr>
            <w:tcW w:w="1163" w:type="dxa"/>
          </w:tcPr>
          <w:p w14:paraId="029610B2" w14:textId="0AF946F6" w:rsidR="0038551E" w:rsidRPr="001B30A1" w:rsidRDefault="00F84598" w:rsidP="00810A11">
            <w:pPr>
              <w:spacing w:line="276" w:lineRule="auto"/>
              <w:jc w:val="both"/>
              <w:rPr>
                <w:rFonts w:cs="Times New Roman"/>
                <w:sz w:val="20"/>
                <w:szCs w:val="20"/>
                <w:lang w:val="en-GB"/>
              </w:rPr>
            </w:pPr>
            <w:r w:rsidRPr="001B30A1">
              <w:rPr>
                <w:rFonts w:cs="Times New Roman"/>
                <w:sz w:val="20"/>
                <w:szCs w:val="20"/>
                <w:lang w:val="en-GB"/>
              </w:rPr>
              <w:t>Structural</w:t>
            </w:r>
          </w:p>
        </w:tc>
        <w:tc>
          <w:tcPr>
            <w:tcW w:w="1837" w:type="dxa"/>
          </w:tcPr>
          <w:p w14:paraId="520B4186" w14:textId="79B5B4F3" w:rsidR="0038551E" w:rsidRPr="001B30A1" w:rsidRDefault="00A35BFB" w:rsidP="00810A11">
            <w:pPr>
              <w:spacing w:line="276" w:lineRule="auto"/>
              <w:jc w:val="both"/>
              <w:rPr>
                <w:rFonts w:cs="Times New Roman"/>
                <w:sz w:val="20"/>
                <w:szCs w:val="20"/>
                <w:lang w:val="en-GB"/>
              </w:rPr>
            </w:pPr>
            <w:r w:rsidRPr="001B30A1">
              <w:rPr>
                <w:rFonts w:cs="Times New Roman"/>
                <w:sz w:val="20"/>
                <w:szCs w:val="20"/>
                <w:lang w:val="en-GB"/>
              </w:rPr>
              <w:t>Total Floor Area</w:t>
            </w:r>
          </w:p>
        </w:tc>
        <w:tc>
          <w:tcPr>
            <w:tcW w:w="3770" w:type="dxa"/>
          </w:tcPr>
          <w:p w14:paraId="14DD88C0" w14:textId="496E3B60" w:rsidR="0038551E" w:rsidRPr="001B30A1" w:rsidRDefault="00A35BFB" w:rsidP="00810A11">
            <w:pPr>
              <w:spacing w:line="276" w:lineRule="auto"/>
              <w:jc w:val="both"/>
              <w:rPr>
                <w:rFonts w:cs="Times New Roman"/>
                <w:sz w:val="20"/>
                <w:szCs w:val="20"/>
              </w:rPr>
            </w:pPr>
            <w:r w:rsidRPr="001B30A1">
              <w:rPr>
                <w:rFonts w:cs="Times New Roman"/>
                <w:sz w:val="20"/>
                <w:szCs w:val="20"/>
              </w:rPr>
              <w:t>Total internal floor area (sqm)</w:t>
            </w:r>
          </w:p>
        </w:tc>
        <w:tc>
          <w:tcPr>
            <w:tcW w:w="2246" w:type="dxa"/>
          </w:tcPr>
          <w:p w14:paraId="11D3FAC8" w14:textId="6718BB73" w:rsidR="0038551E" w:rsidRPr="001B30A1" w:rsidRDefault="00A35BFB" w:rsidP="00810A11">
            <w:pPr>
              <w:spacing w:line="276" w:lineRule="auto"/>
              <w:jc w:val="both"/>
              <w:rPr>
                <w:rFonts w:cs="Times New Roman"/>
                <w:sz w:val="20"/>
                <w:szCs w:val="20"/>
              </w:rPr>
            </w:pPr>
            <w:r w:rsidRPr="001B30A1">
              <w:rPr>
                <w:rFonts w:cs="Times New Roman"/>
                <w:sz w:val="20"/>
                <w:szCs w:val="20"/>
              </w:rPr>
              <w:t>EPC Register</w:t>
            </w:r>
          </w:p>
        </w:tc>
      </w:tr>
      <w:tr w:rsidR="00FB653C" w:rsidRPr="001B30A1" w14:paraId="78E5ADAD" w14:textId="77777777" w:rsidTr="001B30A1">
        <w:tc>
          <w:tcPr>
            <w:tcW w:w="1163" w:type="dxa"/>
          </w:tcPr>
          <w:p w14:paraId="11B02B94" w14:textId="77777777" w:rsidR="00FB653C" w:rsidRPr="001B30A1" w:rsidRDefault="00FB653C" w:rsidP="00FB653C">
            <w:pPr>
              <w:spacing w:line="276" w:lineRule="auto"/>
              <w:jc w:val="both"/>
              <w:rPr>
                <w:rFonts w:cs="Times New Roman"/>
                <w:sz w:val="20"/>
                <w:szCs w:val="20"/>
                <w:lang w:val="en-GB"/>
              </w:rPr>
            </w:pPr>
          </w:p>
        </w:tc>
        <w:tc>
          <w:tcPr>
            <w:tcW w:w="1837" w:type="dxa"/>
          </w:tcPr>
          <w:p w14:paraId="2E84924D" w14:textId="1FCD6A7B" w:rsidR="00FB653C" w:rsidRPr="001B30A1" w:rsidRDefault="00FB653C" w:rsidP="00FB653C">
            <w:pPr>
              <w:spacing w:line="276" w:lineRule="auto"/>
              <w:jc w:val="both"/>
              <w:rPr>
                <w:rFonts w:cs="Times New Roman"/>
                <w:sz w:val="20"/>
                <w:szCs w:val="20"/>
                <w:lang w:val="en-GB"/>
              </w:rPr>
            </w:pPr>
            <w:r w:rsidRPr="001B30A1">
              <w:rPr>
                <w:rFonts w:cs="Times New Roman"/>
                <w:sz w:val="20"/>
                <w:szCs w:val="20"/>
                <w:lang w:val="en-GB"/>
              </w:rPr>
              <w:t>Number of Habitable Rooms</w:t>
            </w:r>
          </w:p>
        </w:tc>
        <w:tc>
          <w:tcPr>
            <w:tcW w:w="3770" w:type="dxa"/>
          </w:tcPr>
          <w:p w14:paraId="2EED5D07" w14:textId="77777777" w:rsidR="00FB653C" w:rsidRPr="001B30A1" w:rsidRDefault="00FB653C" w:rsidP="00FB653C">
            <w:pPr>
              <w:spacing w:line="276" w:lineRule="auto"/>
              <w:jc w:val="both"/>
              <w:rPr>
                <w:rFonts w:cs="Times New Roman"/>
                <w:sz w:val="20"/>
                <w:szCs w:val="20"/>
              </w:rPr>
            </w:pPr>
          </w:p>
        </w:tc>
        <w:tc>
          <w:tcPr>
            <w:tcW w:w="2246" w:type="dxa"/>
          </w:tcPr>
          <w:p w14:paraId="6316B334" w14:textId="06B95B13" w:rsidR="00FB653C" w:rsidRPr="001B30A1" w:rsidRDefault="00FB653C" w:rsidP="00FB653C">
            <w:pPr>
              <w:spacing w:line="276" w:lineRule="auto"/>
              <w:jc w:val="both"/>
              <w:rPr>
                <w:rFonts w:cs="Times New Roman"/>
                <w:sz w:val="20"/>
                <w:szCs w:val="20"/>
              </w:rPr>
            </w:pPr>
            <w:r w:rsidRPr="001B30A1">
              <w:rPr>
                <w:rFonts w:cs="Times New Roman"/>
                <w:sz w:val="20"/>
                <w:szCs w:val="20"/>
              </w:rPr>
              <w:t>EPC Register</w:t>
            </w:r>
          </w:p>
        </w:tc>
      </w:tr>
      <w:tr w:rsidR="00FB653C" w:rsidRPr="001B30A1" w14:paraId="31C21E98" w14:textId="77777777" w:rsidTr="001B30A1">
        <w:tc>
          <w:tcPr>
            <w:tcW w:w="1163" w:type="dxa"/>
            <w:tcBorders>
              <w:bottom w:val="single" w:sz="4" w:space="0" w:color="auto"/>
            </w:tcBorders>
          </w:tcPr>
          <w:p w14:paraId="6C66DEB0" w14:textId="77777777" w:rsidR="00FB653C" w:rsidRPr="001B30A1" w:rsidRDefault="00FB653C" w:rsidP="00FB653C">
            <w:pPr>
              <w:spacing w:line="276" w:lineRule="auto"/>
              <w:jc w:val="both"/>
              <w:rPr>
                <w:rFonts w:cs="Times New Roman"/>
                <w:sz w:val="20"/>
                <w:szCs w:val="20"/>
                <w:lang w:val="en-GB"/>
              </w:rPr>
            </w:pPr>
          </w:p>
        </w:tc>
        <w:tc>
          <w:tcPr>
            <w:tcW w:w="1837" w:type="dxa"/>
            <w:tcBorders>
              <w:bottom w:val="single" w:sz="4" w:space="0" w:color="auto"/>
            </w:tcBorders>
          </w:tcPr>
          <w:p w14:paraId="4179EC5D" w14:textId="7F699729" w:rsidR="00FB653C" w:rsidRPr="001B30A1" w:rsidRDefault="00FB653C" w:rsidP="00FB653C">
            <w:pPr>
              <w:spacing w:line="276" w:lineRule="auto"/>
              <w:jc w:val="both"/>
              <w:rPr>
                <w:rFonts w:cs="Times New Roman"/>
                <w:sz w:val="20"/>
                <w:szCs w:val="20"/>
                <w:lang w:val="en-GB"/>
              </w:rPr>
            </w:pPr>
            <w:r w:rsidRPr="001B30A1">
              <w:rPr>
                <w:rFonts w:cs="Times New Roman"/>
                <w:sz w:val="20"/>
                <w:szCs w:val="20"/>
                <w:lang w:val="en-GB"/>
              </w:rPr>
              <w:t>Property Type</w:t>
            </w:r>
          </w:p>
        </w:tc>
        <w:tc>
          <w:tcPr>
            <w:tcW w:w="3770" w:type="dxa"/>
            <w:tcBorders>
              <w:bottom w:val="single" w:sz="4" w:space="0" w:color="auto"/>
            </w:tcBorders>
          </w:tcPr>
          <w:p w14:paraId="7D6D914F" w14:textId="3E7EECFB" w:rsidR="00FB653C" w:rsidRPr="001B30A1" w:rsidRDefault="00FB653C" w:rsidP="00FB653C">
            <w:pPr>
              <w:spacing w:line="276" w:lineRule="auto"/>
              <w:jc w:val="both"/>
              <w:rPr>
                <w:rFonts w:cs="Times New Roman"/>
                <w:sz w:val="20"/>
                <w:szCs w:val="20"/>
              </w:rPr>
            </w:pPr>
            <w:r w:rsidRPr="001B30A1">
              <w:rPr>
                <w:rFonts w:cs="Times New Roman"/>
                <w:sz w:val="20"/>
                <w:szCs w:val="20"/>
              </w:rPr>
              <w:t>Categorical: House, Flat, Maisonette, Bungalow</w:t>
            </w:r>
          </w:p>
        </w:tc>
        <w:tc>
          <w:tcPr>
            <w:tcW w:w="2246" w:type="dxa"/>
            <w:tcBorders>
              <w:bottom w:val="single" w:sz="4" w:space="0" w:color="auto"/>
            </w:tcBorders>
          </w:tcPr>
          <w:p w14:paraId="6F6C889F" w14:textId="27B038B5" w:rsidR="00FB653C" w:rsidRPr="001B30A1" w:rsidRDefault="00FB653C" w:rsidP="00FB653C">
            <w:pPr>
              <w:spacing w:line="276" w:lineRule="auto"/>
              <w:jc w:val="both"/>
              <w:rPr>
                <w:rFonts w:cs="Times New Roman"/>
                <w:sz w:val="20"/>
                <w:szCs w:val="20"/>
              </w:rPr>
            </w:pPr>
            <w:r w:rsidRPr="001B30A1">
              <w:rPr>
                <w:rFonts w:cs="Times New Roman"/>
                <w:sz w:val="20"/>
                <w:szCs w:val="20"/>
              </w:rPr>
              <w:t>EPC Register</w:t>
            </w:r>
          </w:p>
        </w:tc>
      </w:tr>
    </w:tbl>
    <w:p w14:paraId="70DF65A7" w14:textId="77777777" w:rsidR="00324901" w:rsidRPr="00834DC6" w:rsidRDefault="00324901" w:rsidP="00810A11">
      <w:pPr>
        <w:spacing w:line="276" w:lineRule="auto"/>
        <w:jc w:val="both"/>
        <w:rPr>
          <w:rFonts w:cs="Times New Roman"/>
          <w:sz w:val="24"/>
          <w:szCs w:val="24"/>
          <w:lang w:val="en-GB"/>
        </w:rPr>
      </w:pPr>
    </w:p>
    <w:p w14:paraId="6921E92E" w14:textId="77777777" w:rsidR="00E53134" w:rsidRPr="00834DC6" w:rsidRDefault="00E53134" w:rsidP="00810A11">
      <w:pPr>
        <w:spacing w:line="259" w:lineRule="auto"/>
        <w:rPr>
          <w:rFonts w:cs="Times New Roman"/>
          <w:b/>
          <w:bCs/>
          <w:sz w:val="24"/>
          <w:szCs w:val="24"/>
          <w:lang w:val="en-US"/>
        </w:rPr>
      </w:pPr>
    </w:p>
    <w:p w14:paraId="4DFE292D" w14:textId="77777777" w:rsidR="00E53134" w:rsidRPr="00834DC6" w:rsidRDefault="00E53134" w:rsidP="00810A11">
      <w:pPr>
        <w:spacing w:line="259" w:lineRule="auto"/>
        <w:rPr>
          <w:rFonts w:cs="Times New Roman"/>
          <w:b/>
          <w:bCs/>
          <w:sz w:val="24"/>
          <w:szCs w:val="24"/>
          <w:lang w:val="en-US"/>
        </w:rPr>
      </w:pPr>
    </w:p>
    <w:p w14:paraId="5DC937F0" w14:textId="77777777" w:rsidR="00E53134" w:rsidRPr="00834DC6" w:rsidRDefault="00E53134" w:rsidP="00810A11">
      <w:pPr>
        <w:spacing w:line="259" w:lineRule="auto"/>
        <w:rPr>
          <w:rFonts w:cs="Times New Roman"/>
          <w:b/>
          <w:bCs/>
          <w:sz w:val="24"/>
          <w:szCs w:val="24"/>
          <w:lang w:val="en-US"/>
        </w:rPr>
      </w:pPr>
    </w:p>
    <w:p w14:paraId="76CB3EAA" w14:textId="77777777" w:rsidR="00E53134" w:rsidRPr="00834DC6" w:rsidRDefault="00E53134" w:rsidP="00810A11">
      <w:pPr>
        <w:spacing w:line="259" w:lineRule="auto"/>
        <w:rPr>
          <w:rFonts w:cs="Times New Roman"/>
          <w:b/>
          <w:bCs/>
          <w:sz w:val="24"/>
          <w:szCs w:val="24"/>
          <w:lang w:val="en-US"/>
        </w:rPr>
      </w:pPr>
    </w:p>
    <w:p w14:paraId="1A706EFB" w14:textId="24423FDA" w:rsidR="00810A11" w:rsidRPr="00834DC6" w:rsidRDefault="00810A11" w:rsidP="00810A11">
      <w:pPr>
        <w:spacing w:line="259" w:lineRule="auto"/>
        <w:rPr>
          <w:rFonts w:cs="Times New Roman"/>
          <w:b/>
          <w:bCs/>
          <w:sz w:val="24"/>
          <w:szCs w:val="24"/>
          <w:lang w:val="en-US"/>
        </w:rPr>
      </w:pPr>
      <w:r w:rsidRPr="00834DC6">
        <w:rPr>
          <w:rFonts w:cs="Times New Roman"/>
          <w:b/>
          <w:bCs/>
          <w:sz w:val="24"/>
          <w:szCs w:val="24"/>
          <w:lang w:val="en-US"/>
        </w:rPr>
        <w:t xml:space="preserve">Table </w:t>
      </w:r>
      <w:r w:rsidR="00160F52">
        <w:rPr>
          <w:rFonts w:cs="Times New Roman"/>
          <w:b/>
          <w:bCs/>
          <w:sz w:val="24"/>
          <w:szCs w:val="24"/>
          <w:lang w:val="en-US"/>
        </w:rPr>
        <w:t>2</w:t>
      </w:r>
      <w:r w:rsidRPr="00834DC6">
        <w:rPr>
          <w:rFonts w:cs="Times New Roman"/>
          <w:b/>
          <w:bCs/>
          <w:sz w:val="24"/>
          <w:szCs w:val="24"/>
          <w:lang w:val="en-US"/>
        </w:rPr>
        <w:t>. Model performance in predicting residential sale prices in the Thames Estuary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1623"/>
        <w:gridCol w:w="1490"/>
        <w:gridCol w:w="2236"/>
      </w:tblGrid>
      <w:tr w:rsidR="00810A11" w:rsidRPr="00834DC6" w14:paraId="4B8FD549" w14:textId="77777777" w:rsidTr="00810A11">
        <w:tc>
          <w:tcPr>
            <w:tcW w:w="0" w:type="auto"/>
            <w:tcBorders>
              <w:top w:val="single" w:sz="4" w:space="0" w:color="auto"/>
              <w:bottom w:val="single" w:sz="4" w:space="0" w:color="auto"/>
            </w:tcBorders>
            <w:hideMark/>
          </w:tcPr>
          <w:p w14:paraId="665E4B74" w14:textId="77777777" w:rsidR="00810A11" w:rsidRPr="00834DC6" w:rsidRDefault="00810A11">
            <w:pPr>
              <w:spacing w:after="160" w:line="259" w:lineRule="auto"/>
              <w:rPr>
                <w:rFonts w:cs="Times New Roman"/>
                <w:b/>
                <w:bCs/>
                <w:sz w:val="24"/>
                <w:szCs w:val="24"/>
                <w:lang w:val="en-US"/>
              </w:rPr>
            </w:pPr>
            <w:r w:rsidRPr="00834DC6">
              <w:rPr>
                <w:rFonts w:cs="Times New Roman"/>
                <w:b/>
                <w:bCs/>
                <w:sz w:val="24"/>
                <w:szCs w:val="24"/>
                <w:lang w:val="en-US"/>
              </w:rPr>
              <w:t>Model</w:t>
            </w:r>
          </w:p>
        </w:tc>
        <w:tc>
          <w:tcPr>
            <w:tcW w:w="0" w:type="auto"/>
            <w:tcBorders>
              <w:top w:val="single" w:sz="4" w:space="0" w:color="auto"/>
              <w:bottom w:val="single" w:sz="4" w:space="0" w:color="auto"/>
            </w:tcBorders>
            <w:hideMark/>
          </w:tcPr>
          <w:p w14:paraId="4A818ACA" w14:textId="77777777" w:rsidR="00810A11" w:rsidRPr="00834DC6" w:rsidRDefault="00810A11">
            <w:pPr>
              <w:spacing w:after="160" w:line="259" w:lineRule="auto"/>
              <w:rPr>
                <w:rFonts w:cs="Times New Roman"/>
                <w:b/>
                <w:bCs/>
                <w:sz w:val="24"/>
                <w:szCs w:val="24"/>
                <w:lang w:val="en-US"/>
              </w:rPr>
            </w:pPr>
            <w:r w:rsidRPr="00834DC6">
              <w:rPr>
                <w:rFonts w:cs="Times New Roman"/>
                <w:b/>
                <w:bCs/>
                <w:sz w:val="24"/>
                <w:szCs w:val="24"/>
                <w:lang w:val="en-US"/>
              </w:rPr>
              <w:t>RMSE (GBP)</w:t>
            </w:r>
          </w:p>
        </w:tc>
        <w:tc>
          <w:tcPr>
            <w:tcW w:w="0" w:type="auto"/>
            <w:tcBorders>
              <w:top w:val="single" w:sz="4" w:space="0" w:color="auto"/>
              <w:bottom w:val="single" w:sz="4" w:space="0" w:color="auto"/>
            </w:tcBorders>
            <w:hideMark/>
          </w:tcPr>
          <w:p w14:paraId="66B64591" w14:textId="77777777" w:rsidR="00810A11" w:rsidRPr="00834DC6" w:rsidRDefault="00810A11">
            <w:pPr>
              <w:spacing w:after="160" w:line="259" w:lineRule="auto"/>
              <w:rPr>
                <w:rFonts w:cs="Times New Roman"/>
                <w:b/>
                <w:bCs/>
                <w:sz w:val="24"/>
                <w:szCs w:val="24"/>
                <w:lang w:val="en-US"/>
              </w:rPr>
            </w:pPr>
            <w:r w:rsidRPr="00834DC6">
              <w:rPr>
                <w:rFonts w:cs="Times New Roman"/>
                <w:b/>
                <w:bCs/>
                <w:sz w:val="24"/>
                <w:szCs w:val="24"/>
                <w:lang w:val="en-US"/>
              </w:rPr>
              <w:t>MAE (GBP)</w:t>
            </w:r>
          </w:p>
        </w:tc>
        <w:tc>
          <w:tcPr>
            <w:tcW w:w="2236" w:type="dxa"/>
            <w:tcBorders>
              <w:top w:val="single" w:sz="4" w:space="0" w:color="auto"/>
              <w:bottom w:val="single" w:sz="4" w:space="0" w:color="auto"/>
            </w:tcBorders>
            <w:hideMark/>
          </w:tcPr>
          <w:p w14:paraId="7997B1E0" w14:textId="77777777" w:rsidR="00810A11" w:rsidRPr="00834DC6" w:rsidRDefault="00810A11">
            <w:pPr>
              <w:spacing w:after="160" w:line="259" w:lineRule="auto"/>
              <w:rPr>
                <w:rFonts w:cs="Times New Roman"/>
                <w:b/>
                <w:bCs/>
                <w:sz w:val="24"/>
                <w:szCs w:val="24"/>
                <w:lang w:val="en-US"/>
              </w:rPr>
            </w:pPr>
            <w:r w:rsidRPr="00834DC6">
              <w:rPr>
                <w:rFonts w:cs="Times New Roman"/>
                <w:b/>
                <w:bCs/>
                <w:sz w:val="24"/>
                <w:szCs w:val="24"/>
                <w:lang w:val="en-US"/>
              </w:rPr>
              <w:t>R² (test)</w:t>
            </w:r>
          </w:p>
        </w:tc>
      </w:tr>
      <w:tr w:rsidR="00810A11" w:rsidRPr="00834DC6" w14:paraId="4AB502F0" w14:textId="77777777" w:rsidTr="00810A11">
        <w:tc>
          <w:tcPr>
            <w:tcW w:w="0" w:type="auto"/>
            <w:tcBorders>
              <w:top w:val="single" w:sz="4" w:space="0" w:color="auto"/>
            </w:tcBorders>
            <w:hideMark/>
          </w:tcPr>
          <w:p w14:paraId="67F6358C" w14:textId="77777777"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Hedonic OLS</w:t>
            </w:r>
          </w:p>
        </w:tc>
        <w:tc>
          <w:tcPr>
            <w:tcW w:w="0" w:type="auto"/>
            <w:hideMark/>
          </w:tcPr>
          <w:p w14:paraId="6B712881" w14:textId="34AEB038"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0.31</w:t>
            </w:r>
            <w:r w:rsidR="007A6820" w:rsidRPr="00834DC6">
              <w:rPr>
                <w:rFonts w:cs="Times New Roman"/>
                <w:sz w:val="24"/>
                <w:szCs w:val="24"/>
                <w:lang w:val="en-US"/>
              </w:rPr>
              <w:t>0</w:t>
            </w:r>
          </w:p>
        </w:tc>
        <w:tc>
          <w:tcPr>
            <w:tcW w:w="0" w:type="auto"/>
            <w:tcBorders>
              <w:top w:val="single" w:sz="4" w:space="0" w:color="auto"/>
            </w:tcBorders>
            <w:hideMark/>
          </w:tcPr>
          <w:p w14:paraId="6F2BC53C" w14:textId="3A83E414"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0.18</w:t>
            </w:r>
            <w:r w:rsidR="007A6820" w:rsidRPr="00834DC6">
              <w:rPr>
                <w:rFonts w:cs="Times New Roman"/>
                <w:sz w:val="24"/>
                <w:szCs w:val="24"/>
                <w:lang w:val="en-US"/>
              </w:rPr>
              <w:t>0</w:t>
            </w:r>
          </w:p>
        </w:tc>
        <w:tc>
          <w:tcPr>
            <w:tcW w:w="2236" w:type="dxa"/>
            <w:tcBorders>
              <w:top w:val="single" w:sz="4" w:space="0" w:color="auto"/>
            </w:tcBorders>
            <w:hideMark/>
          </w:tcPr>
          <w:p w14:paraId="7D3A900B" w14:textId="516FD741"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0.6</w:t>
            </w:r>
            <w:r w:rsidR="0047584B" w:rsidRPr="00834DC6">
              <w:rPr>
                <w:rFonts w:cs="Times New Roman"/>
                <w:sz w:val="24"/>
                <w:szCs w:val="24"/>
                <w:lang w:val="en-US"/>
              </w:rPr>
              <w:t>5</w:t>
            </w:r>
            <w:r w:rsidR="007A6820" w:rsidRPr="00834DC6">
              <w:rPr>
                <w:rFonts w:cs="Times New Roman"/>
                <w:sz w:val="24"/>
                <w:szCs w:val="24"/>
                <w:lang w:val="en-US"/>
              </w:rPr>
              <w:t>8</w:t>
            </w:r>
          </w:p>
        </w:tc>
      </w:tr>
      <w:tr w:rsidR="00810A11" w:rsidRPr="00834DC6" w14:paraId="4FE4A72F" w14:textId="77777777" w:rsidTr="00810A11">
        <w:tc>
          <w:tcPr>
            <w:tcW w:w="0" w:type="auto"/>
            <w:hideMark/>
          </w:tcPr>
          <w:p w14:paraId="1D3E7E4B" w14:textId="77777777"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Elastic Net</w:t>
            </w:r>
          </w:p>
        </w:tc>
        <w:tc>
          <w:tcPr>
            <w:tcW w:w="0" w:type="auto"/>
            <w:hideMark/>
          </w:tcPr>
          <w:p w14:paraId="017FB334" w14:textId="5FCCE751"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0.319</w:t>
            </w:r>
          </w:p>
        </w:tc>
        <w:tc>
          <w:tcPr>
            <w:tcW w:w="0" w:type="auto"/>
            <w:hideMark/>
          </w:tcPr>
          <w:p w14:paraId="1B0A8EF6" w14:textId="5E7FAF69"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0.183</w:t>
            </w:r>
          </w:p>
        </w:tc>
        <w:tc>
          <w:tcPr>
            <w:tcW w:w="2236" w:type="dxa"/>
            <w:hideMark/>
          </w:tcPr>
          <w:p w14:paraId="7F1B2844" w14:textId="1C1E108C"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0.644</w:t>
            </w:r>
          </w:p>
        </w:tc>
      </w:tr>
      <w:tr w:rsidR="00810A11" w:rsidRPr="00834DC6" w14:paraId="090DF778" w14:textId="77777777" w:rsidTr="00810A11">
        <w:tc>
          <w:tcPr>
            <w:tcW w:w="0" w:type="auto"/>
            <w:hideMark/>
          </w:tcPr>
          <w:p w14:paraId="11EE9CA7" w14:textId="77777777"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Random Forest</w:t>
            </w:r>
          </w:p>
        </w:tc>
        <w:tc>
          <w:tcPr>
            <w:tcW w:w="0" w:type="auto"/>
            <w:hideMark/>
          </w:tcPr>
          <w:p w14:paraId="09FC7FB3" w14:textId="2C14AA57"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0.0.27</w:t>
            </w:r>
            <w:r w:rsidR="004B174F" w:rsidRPr="00834DC6">
              <w:rPr>
                <w:rFonts w:cs="Times New Roman"/>
                <w:sz w:val="24"/>
                <w:szCs w:val="24"/>
                <w:lang w:val="en-US"/>
              </w:rPr>
              <w:t>3</w:t>
            </w:r>
          </w:p>
        </w:tc>
        <w:tc>
          <w:tcPr>
            <w:tcW w:w="0" w:type="auto"/>
            <w:hideMark/>
          </w:tcPr>
          <w:p w14:paraId="36BB9F04" w14:textId="6F00516F"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0.14</w:t>
            </w:r>
            <w:r w:rsidR="004B174F" w:rsidRPr="00834DC6">
              <w:rPr>
                <w:rFonts w:cs="Times New Roman"/>
                <w:sz w:val="24"/>
                <w:szCs w:val="24"/>
                <w:lang w:val="en-US"/>
              </w:rPr>
              <w:t>0</w:t>
            </w:r>
          </w:p>
        </w:tc>
        <w:tc>
          <w:tcPr>
            <w:tcW w:w="2236" w:type="dxa"/>
            <w:hideMark/>
          </w:tcPr>
          <w:p w14:paraId="56D01DA4" w14:textId="3A743CA6"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0.73</w:t>
            </w:r>
            <w:r w:rsidR="007A6820" w:rsidRPr="00834DC6">
              <w:rPr>
                <w:rFonts w:cs="Times New Roman"/>
                <w:sz w:val="24"/>
                <w:szCs w:val="24"/>
                <w:lang w:val="en-US"/>
              </w:rPr>
              <w:t>4</w:t>
            </w:r>
          </w:p>
        </w:tc>
      </w:tr>
      <w:tr w:rsidR="00810A11" w:rsidRPr="00834DC6" w14:paraId="0BD7BCA6" w14:textId="77777777" w:rsidTr="00810A11">
        <w:tc>
          <w:tcPr>
            <w:tcW w:w="0" w:type="auto"/>
            <w:tcBorders>
              <w:bottom w:val="single" w:sz="4" w:space="0" w:color="auto"/>
            </w:tcBorders>
            <w:hideMark/>
          </w:tcPr>
          <w:p w14:paraId="77DB76BB" w14:textId="77777777" w:rsidR="00810A11" w:rsidRPr="00834DC6" w:rsidRDefault="00810A11">
            <w:pPr>
              <w:spacing w:after="160" w:line="259" w:lineRule="auto"/>
              <w:rPr>
                <w:rFonts w:cs="Times New Roman"/>
                <w:sz w:val="24"/>
                <w:szCs w:val="24"/>
                <w:lang w:val="en-US"/>
              </w:rPr>
            </w:pPr>
            <w:proofErr w:type="spellStart"/>
            <w:r w:rsidRPr="00834DC6">
              <w:rPr>
                <w:rFonts w:cs="Times New Roman"/>
                <w:sz w:val="24"/>
                <w:szCs w:val="24"/>
                <w:lang w:val="en-US"/>
              </w:rPr>
              <w:t>XGBoost</w:t>
            </w:r>
            <w:proofErr w:type="spellEnd"/>
          </w:p>
        </w:tc>
        <w:tc>
          <w:tcPr>
            <w:tcW w:w="0" w:type="auto"/>
            <w:tcBorders>
              <w:bottom w:val="single" w:sz="4" w:space="0" w:color="auto"/>
            </w:tcBorders>
            <w:hideMark/>
          </w:tcPr>
          <w:p w14:paraId="3966D05B" w14:textId="4FF34C94"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0.2</w:t>
            </w:r>
            <w:r w:rsidR="004B174F" w:rsidRPr="00834DC6">
              <w:rPr>
                <w:rFonts w:cs="Times New Roman"/>
                <w:sz w:val="24"/>
                <w:szCs w:val="24"/>
                <w:lang w:val="en-US"/>
              </w:rPr>
              <w:t>68</w:t>
            </w:r>
          </w:p>
        </w:tc>
        <w:tc>
          <w:tcPr>
            <w:tcW w:w="0" w:type="auto"/>
            <w:tcBorders>
              <w:bottom w:val="single" w:sz="4" w:space="0" w:color="auto"/>
            </w:tcBorders>
            <w:hideMark/>
          </w:tcPr>
          <w:p w14:paraId="3854069B" w14:textId="0A06AEFA"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0.1</w:t>
            </w:r>
            <w:r w:rsidR="004B174F" w:rsidRPr="00834DC6">
              <w:rPr>
                <w:rFonts w:cs="Times New Roman"/>
                <w:sz w:val="24"/>
                <w:szCs w:val="24"/>
                <w:lang w:val="en-US"/>
              </w:rPr>
              <w:t>39</w:t>
            </w:r>
          </w:p>
        </w:tc>
        <w:tc>
          <w:tcPr>
            <w:tcW w:w="2236" w:type="dxa"/>
            <w:tcBorders>
              <w:bottom w:val="single" w:sz="4" w:space="0" w:color="auto"/>
            </w:tcBorders>
            <w:hideMark/>
          </w:tcPr>
          <w:p w14:paraId="0A8E3018" w14:textId="254B49F5" w:rsidR="00810A11" w:rsidRPr="00834DC6" w:rsidRDefault="00810A11">
            <w:pPr>
              <w:spacing w:after="160" w:line="259" w:lineRule="auto"/>
              <w:rPr>
                <w:rFonts w:cs="Times New Roman"/>
                <w:sz w:val="24"/>
                <w:szCs w:val="24"/>
                <w:lang w:val="en-US"/>
              </w:rPr>
            </w:pPr>
            <w:r w:rsidRPr="00834DC6">
              <w:rPr>
                <w:rFonts w:cs="Times New Roman"/>
                <w:sz w:val="24"/>
                <w:szCs w:val="24"/>
                <w:lang w:val="en-US"/>
              </w:rPr>
              <w:t>0.74</w:t>
            </w:r>
            <w:r w:rsidR="004B19D7" w:rsidRPr="00834DC6">
              <w:rPr>
                <w:rFonts w:cs="Times New Roman"/>
                <w:sz w:val="24"/>
                <w:szCs w:val="24"/>
                <w:lang w:val="en-US"/>
              </w:rPr>
              <w:t>3</w:t>
            </w:r>
          </w:p>
        </w:tc>
      </w:tr>
    </w:tbl>
    <w:p w14:paraId="3690218A" w14:textId="77777777" w:rsidR="00810A11" w:rsidRPr="00834DC6" w:rsidRDefault="00810A11" w:rsidP="00810A11">
      <w:pPr>
        <w:spacing w:line="276" w:lineRule="auto"/>
        <w:jc w:val="both"/>
        <w:rPr>
          <w:rFonts w:cs="Times New Roman"/>
          <w:sz w:val="24"/>
          <w:szCs w:val="24"/>
          <w:lang w:val="en-GB"/>
        </w:rPr>
      </w:pPr>
    </w:p>
    <w:p w14:paraId="2C2F6C9D" w14:textId="421CB1FF" w:rsidR="00D3214F" w:rsidRPr="00D3214F" w:rsidRDefault="00D3214F" w:rsidP="00D3214F">
      <w:pPr>
        <w:spacing w:line="276" w:lineRule="auto"/>
        <w:jc w:val="both"/>
        <w:rPr>
          <w:rFonts w:cs="Times New Roman"/>
          <w:sz w:val="24"/>
          <w:szCs w:val="24"/>
          <w:lang w:val="en-GB"/>
        </w:rPr>
      </w:pPr>
      <w:r w:rsidRPr="00D3214F">
        <w:rPr>
          <w:rFonts w:cs="Times New Roman"/>
          <w:sz w:val="24"/>
          <w:szCs w:val="24"/>
          <w:lang w:val="en-GB"/>
        </w:rPr>
        <w:t xml:space="preserve">Table </w:t>
      </w:r>
      <w:r w:rsidR="00160F52">
        <w:rPr>
          <w:rFonts w:cs="Times New Roman"/>
          <w:sz w:val="24"/>
          <w:szCs w:val="24"/>
          <w:lang w:val="en-GB"/>
        </w:rPr>
        <w:t>2</w:t>
      </w:r>
      <w:r w:rsidRPr="00D3214F">
        <w:rPr>
          <w:rFonts w:cs="Times New Roman"/>
          <w:sz w:val="24"/>
          <w:szCs w:val="24"/>
          <w:lang w:val="en-GB"/>
        </w:rPr>
        <w:t xml:space="preserve"> compares predictive performance across linear and non-linear models. The machine learning models substantially outperform the traditional hedonic specification.</w:t>
      </w:r>
    </w:p>
    <w:p w14:paraId="32668187" w14:textId="187B22FF" w:rsidR="00D3214F" w:rsidRPr="00D3214F" w:rsidRDefault="00D3214F" w:rsidP="00D3214F">
      <w:pPr>
        <w:numPr>
          <w:ilvl w:val="0"/>
          <w:numId w:val="2"/>
        </w:numPr>
        <w:spacing w:line="276" w:lineRule="auto"/>
        <w:jc w:val="both"/>
        <w:rPr>
          <w:rFonts w:cs="Times New Roman"/>
          <w:sz w:val="24"/>
          <w:szCs w:val="24"/>
          <w:lang w:val="en-GB"/>
        </w:rPr>
      </w:pPr>
      <w:r w:rsidRPr="00D3214F">
        <w:rPr>
          <w:rFonts w:cs="Times New Roman"/>
          <w:sz w:val="24"/>
          <w:szCs w:val="24"/>
          <w:lang w:val="en-GB"/>
        </w:rPr>
        <w:t>OLS and Elastic Net show identical performance (R² = 0.</w:t>
      </w:r>
      <w:r w:rsidR="00C46A00" w:rsidRPr="00834DC6">
        <w:rPr>
          <w:rFonts w:cs="Times New Roman"/>
          <w:sz w:val="24"/>
          <w:szCs w:val="24"/>
          <w:lang w:val="en-GB"/>
        </w:rPr>
        <w:t>658</w:t>
      </w:r>
      <w:r w:rsidRPr="00D3214F">
        <w:rPr>
          <w:rFonts w:cs="Times New Roman"/>
          <w:sz w:val="24"/>
          <w:szCs w:val="24"/>
          <w:lang w:val="en-GB"/>
        </w:rPr>
        <w:t>), indicating limited benefit from penalization under current feature specification.</w:t>
      </w:r>
    </w:p>
    <w:p w14:paraId="2183DE41" w14:textId="0A337CCA" w:rsidR="00D3214F" w:rsidRPr="00D3214F" w:rsidRDefault="00D3214F" w:rsidP="00D3214F">
      <w:pPr>
        <w:numPr>
          <w:ilvl w:val="0"/>
          <w:numId w:val="2"/>
        </w:numPr>
        <w:spacing w:line="276" w:lineRule="auto"/>
        <w:jc w:val="both"/>
        <w:rPr>
          <w:rFonts w:cs="Times New Roman"/>
          <w:sz w:val="24"/>
          <w:szCs w:val="24"/>
          <w:lang w:val="en-GB"/>
        </w:rPr>
      </w:pPr>
      <w:r w:rsidRPr="00D3214F">
        <w:rPr>
          <w:rFonts w:cs="Times New Roman"/>
          <w:sz w:val="24"/>
          <w:szCs w:val="24"/>
          <w:lang w:val="en-GB"/>
        </w:rPr>
        <w:lastRenderedPageBreak/>
        <w:t>Random Forest improves explanatory power (R² = 0.73</w:t>
      </w:r>
      <w:r w:rsidR="00C46A00" w:rsidRPr="00834DC6">
        <w:rPr>
          <w:rFonts w:cs="Times New Roman"/>
          <w:sz w:val="24"/>
          <w:szCs w:val="24"/>
          <w:lang w:val="en-GB"/>
        </w:rPr>
        <w:t>4</w:t>
      </w:r>
      <w:r w:rsidRPr="00D3214F">
        <w:rPr>
          <w:rFonts w:cs="Times New Roman"/>
          <w:sz w:val="24"/>
          <w:szCs w:val="24"/>
          <w:lang w:val="en-GB"/>
        </w:rPr>
        <w:t>).</w:t>
      </w:r>
    </w:p>
    <w:p w14:paraId="5AF21EA8" w14:textId="6275AA65" w:rsidR="00D3214F" w:rsidRPr="00D3214F" w:rsidRDefault="00D3214F" w:rsidP="00D3214F">
      <w:pPr>
        <w:numPr>
          <w:ilvl w:val="0"/>
          <w:numId w:val="2"/>
        </w:numPr>
        <w:spacing w:line="276" w:lineRule="auto"/>
        <w:jc w:val="both"/>
        <w:rPr>
          <w:rFonts w:cs="Times New Roman"/>
          <w:sz w:val="24"/>
          <w:szCs w:val="24"/>
          <w:lang w:val="en-GB"/>
        </w:rPr>
      </w:pPr>
      <w:proofErr w:type="spellStart"/>
      <w:r w:rsidRPr="00D3214F">
        <w:rPr>
          <w:rFonts w:cs="Times New Roman"/>
          <w:sz w:val="24"/>
          <w:szCs w:val="24"/>
          <w:lang w:val="en-GB"/>
        </w:rPr>
        <w:t>XGBoost</w:t>
      </w:r>
      <w:proofErr w:type="spellEnd"/>
      <w:r w:rsidRPr="00D3214F">
        <w:rPr>
          <w:rFonts w:cs="Times New Roman"/>
          <w:sz w:val="24"/>
          <w:szCs w:val="24"/>
          <w:lang w:val="en-GB"/>
        </w:rPr>
        <w:t xml:space="preserve"> performs best (R² = 0.74</w:t>
      </w:r>
      <w:r w:rsidR="00C46A00" w:rsidRPr="00834DC6">
        <w:rPr>
          <w:rFonts w:cs="Times New Roman"/>
          <w:sz w:val="24"/>
          <w:szCs w:val="24"/>
          <w:lang w:val="en-GB"/>
        </w:rPr>
        <w:t>3</w:t>
      </w:r>
      <w:r w:rsidRPr="00D3214F">
        <w:rPr>
          <w:rFonts w:cs="Times New Roman"/>
          <w:sz w:val="24"/>
          <w:szCs w:val="24"/>
          <w:lang w:val="en-GB"/>
        </w:rPr>
        <w:t>), reducing RMSE by approximately 15% relative to OLS.</w:t>
      </w:r>
    </w:p>
    <w:p w14:paraId="158EF1F8" w14:textId="77777777" w:rsidR="00D3214F" w:rsidRPr="00D3214F" w:rsidRDefault="00D3214F" w:rsidP="00D3214F">
      <w:pPr>
        <w:spacing w:line="276" w:lineRule="auto"/>
        <w:jc w:val="both"/>
        <w:rPr>
          <w:rFonts w:cs="Times New Roman"/>
          <w:sz w:val="24"/>
          <w:szCs w:val="24"/>
          <w:lang w:val="en-GB"/>
        </w:rPr>
      </w:pPr>
      <w:r w:rsidRPr="00D3214F">
        <w:rPr>
          <w:rFonts w:cs="Times New Roman"/>
          <w:sz w:val="24"/>
          <w:szCs w:val="24"/>
          <w:lang w:val="en-GB"/>
        </w:rPr>
        <w:t>This confirms that:</w:t>
      </w:r>
    </w:p>
    <w:p w14:paraId="27E56FE4" w14:textId="77777777" w:rsidR="00D3214F" w:rsidRPr="00D3214F" w:rsidRDefault="00D3214F" w:rsidP="00D3214F">
      <w:pPr>
        <w:spacing w:line="276" w:lineRule="auto"/>
        <w:jc w:val="both"/>
        <w:rPr>
          <w:rFonts w:cs="Times New Roman"/>
          <w:sz w:val="24"/>
          <w:szCs w:val="24"/>
          <w:lang w:val="en-GB"/>
        </w:rPr>
      </w:pPr>
      <w:r w:rsidRPr="00D3214F">
        <w:rPr>
          <w:rFonts w:cs="Times New Roman"/>
          <w:sz w:val="24"/>
          <w:szCs w:val="24"/>
          <w:lang w:val="en-GB"/>
        </w:rPr>
        <w:t>Climate-risk pricing in the Thames Estuary is nonlinear and interaction-driven, which linear models fail to fully capture.</w:t>
      </w:r>
    </w:p>
    <w:p w14:paraId="28024B88" w14:textId="13F634E1" w:rsidR="00D3214F" w:rsidRPr="00D3214F" w:rsidRDefault="00D3214F" w:rsidP="00D3214F">
      <w:pPr>
        <w:spacing w:line="276" w:lineRule="auto"/>
        <w:jc w:val="both"/>
        <w:rPr>
          <w:rFonts w:cs="Times New Roman"/>
          <w:sz w:val="24"/>
          <w:szCs w:val="24"/>
          <w:lang w:val="en-GB"/>
        </w:rPr>
      </w:pPr>
      <w:r w:rsidRPr="00D3214F">
        <w:rPr>
          <w:rFonts w:cs="Times New Roman"/>
          <w:sz w:val="24"/>
          <w:szCs w:val="24"/>
          <w:lang w:val="en-GB"/>
        </w:rPr>
        <w:t>The improvement from 0.6</w:t>
      </w:r>
      <w:r w:rsidR="00C46A00" w:rsidRPr="00834DC6">
        <w:rPr>
          <w:rFonts w:cs="Times New Roman"/>
          <w:sz w:val="24"/>
          <w:szCs w:val="24"/>
          <w:lang w:val="en-GB"/>
        </w:rPr>
        <w:t>58</w:t>
      </w:r>
      <w:r w:rsidR="003751E5" w:rsidRPr="00834DC6">
        <w:rPr>
          <w:rFonts w:cs="Times New Roman"/>
          <w:sz w:val="24"/>
          <w:szCs w:val="24"/>
          <w:lang w:val="en-GB"/>
        </w:rPr>
        <w:t xml:space="preserve"> to</w:t>
      </w:r>
      <w:r w:rsidRPr="00D3214F">
        <w:rPr>
          <w:rFonts w:cs="Times New Roman"/>
          <w:sz w:val="24"/>
          <w:szCs w:val="24"/>
          <w:lang w:val="en-GB"/>
        </w:rPr>
        <w:t xml:space="preserve"> 0.74</w:t>
      </w:r>
      <w:r w:rsidR="00C46A00" w:rsidRPr="00834DC6">
        <w:rPr>
          <w:rFonts w:cs="Times New Roman"/>
          <w:sz w:val="24"/>
          <w:szCs w:val="24"/>
          <w:lang w:val="en-GB"/>
        </w:rPr>
        <w:t>3</w:t>
      </w:r>
      <w:r w:rsidRPr="00D3214F">
        <w:rPr>
          <w:rFonts w:cs="Times New Roman"/>
          <w:sz w:val="24"/>
          <w:szCs w:val="24"/>
          <w:lang w:val="en-GB"/>
        </w:rPr>
        <w:t xml:space="preserve"> represents a 15.5% gain in explained variance, economically meaningful for property valuation models.</w:t>
      </w:r>
    </w:p>
    <w:p w14:paraId="4DBC45DD" w14:textId="77777777" w:rsidR="00D3214F" w:rsidRPr="00834DC6" w:rsidRDefault="00D3214F" w:rsidP="00810A11">
      <w:pPr>
        <w:spacing w:line="276" w:lineRule="auto"/>
        <w:jc w:val="both"/>
        <w:rPr>
          <w:rFonts w:cs="Times New Roman"/>
          <w:sz w:val="24"/>
          <w:szCs w:val="24"/>
          <w:lang w:val="en-GB"/>
        </w:rPr>
      </w:pPr>
    </w:p>
    <w:p w14:paraId="5ECF9A80" w14:textId="77777777" w:rsidR="005D4D0E" w:rsidRPr="00834DC6" w:rsidRDefault="005D4D0E" w:rsidP="00810A11">
      <w:pPr>
        <w:spacing w:line="276" w:lineRule="auto"/>
        <w:jc w:val="both"/>
        <w:rPr>
          <w:rFonts w:cs="Times New Roman"/>
          <w:sz w:val="24"/>
          <w:szCs w:val="24"/>
          <w:lang w:val="en-GB"/>
        </w:rPr>
      </w:pPr>
    </w:p>
    <w:p w14:paraId="133BD523" w14:textId="77777777" w:rsidR="00AD4278" w:rsidRPr="00834DC6" w:rsidRDefault="00AD4278" w:rsidP="00810A11">
      <w:pPr>
        <w:spacing w:line="276" w:lineRule="auto"/>
        <w:jc w:val="both"/>
        <w:rPr>
          <w:rFonts w:cs="Times New Roman"/>
          <w:sz w:val="24"/>
          <w:szCs w:val="24"/>
          <w:lang w:val="en-GB"/>
        </w:rPr>
      </w:pPr>
    </w:p>
    <w:p w14:paraId="4EC2ADD0" w14:textId="77777777" w:rsidR="00AD4278" w:rsidRPr="00834DC6" w:rsidRDefault="00AD4278" w:rsidP="00810A11">
      <w:pPr>
        <w:spacing w:line="276" w:lineRule="auto"/>
        <w:jc w:val="both"/>
        <w:rPr>
          <w:rFonts w:cs="Times New Roman"/>
          <w:sz w:val="24"/>
          <w:szCs w:val="24"/>
          <w:lang w:val="en-GB"/>
        </w:rPr>
      </w:pPr>
    </w:p>
    <w:p w14:paraId="035B4495" w14:textId="77777777" w:rsidR="00860B85" w:rsidRPr="00834DC6" w:rsidRDefault="00860B85" w:rsidP="00810A11">
      <w:pPr>
        <w:spacing w:line="276" w:lineRule="auto"/>
        <w:jc w:val="both"/>
        <w:rPr>
          <w:rFonts w:cs="Times New Roman"/>
          <w:sz w:val="24"/>
          <w:szCs w:val="24"/>
          <w:lang w:val="en-GB"/>
        </w:rPr>
      </w:pPr>
    </w:p>
    <w:p w14:paraId="6A98B168" w14:textId="77777777" w:rsidR="00860B85" w:rsidRPr="00834DC6" w:rsidRDefault="00860B85" w:rsidP="00810A11">
      <w:pPr>
        <w:spacing w:line="276" w:lineRule="auto"/>
        <w:jc w:val="both"/>
        <w:rPr>
          <w:rFonts w:cs="Times New Roman"/>
          <w:sz w:val="24"/>
          <w:szCs w:val="24"/>
          <w:lang w:val="en-GB"/>
        </w:rPr>
      </w:pPr>
    </w:p>
    <w:p w14:paraId="2E7C2CA2" w14:textId="77777777" w:rsidR="00860B85" w:rsidRPr="00834DC6" w:rsidRDefault="00860B85" w:rsidP="00810A11">
      <w:pPr>
        <w:spacing w:line="276" w:lineRule="auto"/>
        <w:jc w:val="both"/>
        <w:rPr>
          <w:rFonts w:cs="Times New Roman"/>
          <w:sz w:val="24"/>
          <w:szCs w:val="24"/>
          <w:lang w:val="en-GB"/>
        </w:rPr>
      </w:pPr>
    </w:p>
    <w:p w14:paraId="13E97EFD" w14:textId="77777777" w:rsidR="000B5895" w:rsidRDefault="005D4D0E" w:rsidP="000B5895">
      <w:pPr>
        <w:keepNext/>
        <w:spacing w:line="276" w:lineRule="auto"/>
        <w:jc w:val="both"/>
      </w:pPr>
      <w:r w:rsidRPr="00834DC6">
        <w:rPr>
          <w:rFonts w:cs="Times New Roman"/>
          <w:noProof/>
          <w:sz w:val="24"/>
          <w:szCs w:val="24"/>
        </w:rPr>
        <w:drawing>
          <wp:inline distT="0" distB="0" distL="0" distR="0" wp14:anchorId="6FEBE4B1" wp14:editId="4CCEFBE0">
            <wp:extent cx="5731510" cy="3014345"/>
            <wp:effectExtent l="0" t="0" r="2540" b="0"/>
            <wp:docPr id="143955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4345"/>
                    </a:xfrm>
                    <a:prstGeom prst="rect">
                      <a:avLst/>
                    </a:prstGeom>
                    <a:noFill/>
                    <a:ln>
                      <a:noFill/>
                    </a:ln>
                  </pic:spPr>
                </pic:pic>
              </a:graphicData>
            </a:graphic>
          </wp:inline>
        </w:drawing>
      </w:r>
    </w:p>
    <w:p w14:paraId="1796E039" w14:textId="7A67905D" w:rsidR="005D4D0E" w:rsidRPr="00834DC6" w:rsidRDefault="000B5895" w:rsidP="000B5895">
      <w:pPr>
        <w:pStyle w:val="Caption"/>
        <w:jc w:val="both"/>
        <w:rPr>
          <w:rFonts w:cs="Times New Roman"/>
          <w:sz w:val="24"/>
          <w:szCs w:val="24"/>
          <w:lang w:val="en-GB"/>
        </w:rPr>
      </w:pPr>
      <w:r>
        <w:t xml:space="preserve">Figure </w:t>
      </w:r>
      <w:r>
        <w:fldChar w:fldCharType="begin"/>
      </w:r>
      <w:r>
        <w:instrText xml:space="preserve"> SEQ Figure \* ARABIC </w:instrText>
      </w:r>
      <w:r>
        <w:fldChar w:fldCharType="separate"/>
      </w:r>
      <w:r w:rsidR="00BD2E98">
        <w:rPr>
          <w:noProof/>
        </w:rPr>
        <w:t>1</w:t>
      </w:r>
      <w:r>
        <w:fldChar w:fldCharType="end"/>
      </w:r>
      <w:r>
        <w:rPr>
          <w:lang w:val="en-GB"/>
        </w:rPr>
        <w:t xml:space="preserve">: Top 20 </w:t>
      </w:r>
      <w:r w:rsidR="00BD2E98">
        <w:rPr>
          <w:lang w:val="en-GB"/>
        </w:rPr>
        <w:t>Feature Importance Variables</w:t>
      </w:r>
    </w:p>
    <w:p w14:paraId="1BA463EB" w14:textId="77777777" w:rsidR="001C45A9" w:rsidRPr="00834DC6" w:rsidRDefault="001C45A9" w:rsidP="001C45A9">
      <w:pPr>
        <w:spacing w:line="276" w:lineRule="auto"/>
        <w:jc w:val="both"/>
        <w:rPr>
          <w:rFonts w:cs="Times New Roman"/>
          <w:sz w:val="24"/>
          <w:szCs w:val="24"/>
          <w:lang w:val="en-GB"/>
        </w:rPr>
      </w:pPr>
      <w:r w:rsidRPr="00834DC6">
        <w:rPr>
          <w:rFonts w:cs="Times New Roman"/>
          <w:sz w:val="24"/>
          <w:szCs w:val="24"/>
        </w:rPr>
        <w:t>While structural attributes like TOTAL_FLOOR_AREA remain dominant, climate and adaptation drivers such as elevation, distance to river, and TE2100 policy units (pmu) emerge as top predictors. Specifically, location in the Wandsworth to Deptford and Greenwich policy units carries significant predictive weight, highlighting the capitalization of defense infrastructure into private values.</w:t>
      </w:r>
    </w:p>
    <w:p w14:paraId="53B4A9F3" w14:textId="77777777" w:rsidR="00860B85" w:rsidRPr="00834DC6" w:rsidRDefault="00860B85" w:rsidP="00810A11">
      <w:pPr>
        <w:spacing w:line="276" w:lineRule="auto"/>
        <w:jc w:val="both"/>
        <w:rPr>
          <w:rFonts w:cs="Times New Roman"/>
          <w:sz w:val="24"/>
          <w:szCs w:val="24"/>
          <w:lang w:val="en-GB"/>
        </w:rPr>
      </w:pPr>
    </w:p>
    <w:p w14:paraId="7FA9532B" w14:textId="77777777" w:rsidR="00860B85" w:rsidRPr="00834DC6" w:rsidRDefault="00860B85" w:rsidP="00810A11">
      <w:pPr>
        <w:spacing w:line="276" w:lineRule="auto"/>
        <w:jc w:val="both"/>
        <w:rPr>
          <w:rFonts w:cs="Times New Roman"/>
          <w:sz w:val="24"/>
          <w:szCs w:val="24"/>
          <w:lang w:val="en-GB"/>
        </w:rPr>
      </w:pPr>
    </w:p>
    <w:p w14:paraId="7BDD4F32" w14:textId="77777777" w:rsidR="00860B85" w:rsidRPr="00834DC6" w:rsidRDefault="00860B85" w:rsidP="00810A11">
      <w:pPr>
        <w:spacing w:line="276" w:lineRule="auto"/>
        <w:jc w:val="both"/>
        <w:rPr>
          <w:rFonts w:cs="Times New Roman"/>
          <w:sz w:val="24"/>
          <w:szCs w:val="24"/>
          <w:lang w:val="en-GB"/>
        </w:rPr>
      </w:pPr>
    </w:p>
    <w:p w14:paraId="0DDE7CEF" w14:textId="77777777" w:rsidR="00860B85" w:rsidRPr="00834DC6" w:rsidRDefault="00860B85" w:rsidP="00810A11">
      <w:pPr>
        <w:spacing w:line="276" w:lineRule="auto"/>
        <w:jc w:val="both"/>
        <w:rPr>
          <w:rFonts w:cs="Times New Roman"/>
          <w:sz w:val="24"/>
          <w:szCs w:val="24"/>
          <w:lang w:val="en-GB"/>
        </w:rPr>
      </w:pPr>
    </w:p>
    <w:p w14:paraId="5BB0876F" w14:textId="77777777" w:rsidR="00860B85" w:rsidRPr="00834DC6" w:rsidRDefault="00860B85" w:rsidP="00810A11">
      <w:pPr>
        <w:spacing w:line="276" w:lineRule="auto"/>
        <w:jc w:val="both"/>
        <w:rPr>
          <w:rFonts w:cs="Times New Roman"/>
          <w:sz w:val="24"/>
          <w:szCs w:val="24"/>
          <w:lang w:val="en-GB"/>
        </w:rPr>
      </w:pPr>
    </w:p>
    <w:p w14:paraId="5EF1EDE1" w14:textId="77777777" w:rsidR="00860B85" w:rsidRPr="00834DC6" w:rsidRDefault="00860B85" w:rsidP="00810A11">
      <w:pPr>
        <w:spacing w:line="276" w:lineRule="auto"/>
        <w:jc w:val="both"/>
        <w:rPr>
          <w:rFonts w:cs="Times New Roman"/>
          <w:sz w:val="24"/>
          <w:szCs w:val="24"/>
          <w:lang w:val="en-GB"/>
        </w:rPr>
      </w:pPr>
    </w:p>
    <w:p w14:paraId="6D639103" w14:textId="77777777" w:rsidR="00BD2E98" w:rsidRDefault="005D4D0E" w:rsidP="00BD2E98">
      <w:pPr>
        <w:keepNext/>
        <w:spacing w:line="276" w:lineRule="auto"/>
        <w:jc w:val="both"/>
      </w:pPr>
      <w:r w:rsidRPr="00834DC6">
        <w:rPr>
          <w:rFonts w:cs="Times New Roman"/>
          <w:noProof/>
          <w:sz w:val="24"/>
          <w:szCs w:val="24"/>
        </w:rPr>
        <w:drawing>
          <wp:inline distT="0" distB="0" distL="0" distR="0" wp14:anchorId="40D28C86" wp14:editId="0C70573A">
            <wp:extent cx="5731510" cy="4264660"/>
            <wp:effectExtent l="0" t="0" r="2540" b="2540"/>
            <wp:docPr id="1212373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64660"/>
                    </a:xfrm>
                    <a:prstGeom prst="rect">
                      <a:avLst/>
                    </a:prstGeom>
                    <a:noFill/>
                    <a:ln>
                      <a:noFill/>
                    </a:ln>
                  </pic:spPr>
                </pic:pic>
              </a:graphicData>
            </a:graphic>
          </wp:inline>
        </w:drawing>
      </w:r>
    </w:p>
    <w:p w14:paraId="2C0E2403" w14:textId="521AC194" w:rsidR="005D4D0E" w:rsidRPr="00834DC6" w:rsidRDefault="00BD2E98" w:rsidP="00BD2E98">
      <w:pPr>
        <w:pStyle w:val="Caption"/>
        <w:jc w:val="both"/>
        <w:rPr>
          <w:rFonts w:cs="Times New Roman"/>
          <w:sz w:val="24"/>
          <w:szCs w:val="24"/>
          <w:lang w:val="en-GB"/>
        </w:rPr>
      </w:pPr>
      <w:r>
        <w:t xml:space="preserve">Figure </w:t>
      </w:r>
      <w:r>
        <w:fldChar w:fldCharType="begin"/>
      </w:r>
      <w:r>
        <w:instrText xml:space="preserve"> SEQ Figure \* ARABIC </w:instrText>
      </w:r>
      <w:r>
        <w:fldChar w:fldCharType="separate"/>
      </w:r>
      <w:r>
        <w:rPr>
          <w:noProof/>
        </w:rPr>
        <w:t>2</w:t>
      </w:r>
      <w:r>
        <w:fldChar w:fldCharType="end"/>
      </w:r>
      <w:r>
        <w:rPr>
          <w:lang w:val="en-GB"/>
        </w:rPr>
        <w:t>: Partial Dependence of Residential Prices of Elevation</w:t>
      </w:r>
    </w:p>
    <w:p w14:paraId="58EEEC1C" w14:textId="1BE042B4" w:rsidR="006B19EF" w:rsidRPr="006B19EF" w:rsidRDefault="006B19EF" w:rsidP="006B19EF">
      <w:pPr>
        <w:spacing w:line="276" w:lineRule="auto"/>
        <w:jc w:val="both"/>
        <w:rPr>
          <w:rFonts w:cs="Times New Roman"/>
          <w:sz w:val="24"/>
          <w:szCs w:val="24"/>
          <w:lang w:val="en-GB"/>
        </w:rPr>
      </w:pPr>
      <w:r w:rsidRPr="00834DC6">
        <w:rPr>
          <w:rFonts w:cs="Times New Roman"/>
          <w:sz w:val="24"/>
          <w:szCs w:val="24"/>
          <w:lang w:val="en-GB"/>
        </w:rPr>
        <w:t xml:space="preserve">Note: </w:t>
      </w:r>
      <w:r w:rsidRPr="006B19EF">
        <w:rPr>
          <w:rFonts w:cs="Times New Roman"/>
          <w:sz w:val="24"/>
          <w:szCs w:val="24"/>
          <w:lang w:val="en-GB"/>
        </w:rPr>
        <w:t xml:space="preserve">The y-axis shows the </w:t>
      </w:r>
      <w:r w:rsidRPr="006B19EF">
        <w:rPr>
          <w:rFonts w:cs="Times New Roman"/>
          <w:b/>
          <w:bCs/>
          <w:sz w:val="24"/>
          <w:szCs w:val="24"/>
          <w:lang w:val="en-GB"/>
        </w:rPr>
        <w:t>marginal percent change</w:t>
      </w:r>
      <w:r w:rsidRPr="006B19EF">
        <w:rPr>
          <w:rFonts w:cs="Times New Roman"/>
          <w:sz w:val="24"/>
          <w:szCs w:val="24"/>
          <w:lang w:val="en-GB"/>
        </w:rPr>
        <w:t xml:space="preserve"> in price, calculated by exponentiating the log-price partial dependence output </w:t>
      </w:r>
      <m:oMath>
        <m:sSup>
          <m:sSupPr>
            <m:ctrlPr>
              <w:rPr>
                <w:rFonts w:ascii="Cambria Math" w:hAnsi="Cambria Math" w:cs="Times New Roman"/>
                <w:i/>
                <w:sz w:val="24"/>
                <w:szCs w:val="24"/>
                <w:lang w:val="en-GB"/>
              </w:rPr>
            </m:ctrlPr>
          </m:sSupPr>
          <m:e>
            <m:r>
              <w:rPr>
                <w:rFonts w:ascii="Cambria Math" w:hAnsi="Cambria Math" w:cs="Times New Roman"/>
                <w:sz w:val="24"/>
                <w:szCs w:val="24"/>
                <w:lang w:val="en-GB"/>
              </w:rPr>
              <m:t>e</m:t>
            </m:r>
          </m:e>
          <m:sup>
            <m:r>
              <w:rPr>
                <w:rFonts w:ascii="Cambria Math" w:hAnsi="Cambria Math" w:cs="Times New Roman"/>
                <w:sz w:val="24"/>
                <w:szCs w:val="24"/>
                <w:lang w:val="en-GB"/>
              </w:rPr>
              <m:t>β</m:t>
            </m:r>
          </m:sup>
        </m:sSup>
        <m:r>
          <w:rPr>
            <w:rFonts w:ascii="Cambria Math" w:hAnsi="Cambria Math" w:cs="Times New Roman"/>
            <w:sz w:val="24"/>
            <w:szCs w:val="24"/>
            <w:lang w:val="en-GB"/>
          </w:rPr>
          <m:t>-1</m:t>
        </m:r>
      </m:oMath>
    </w:p>
    <w:p w14:paraId="003B3D9E" w14:textId="77777777" w:rsidR="005D4D0E" w:rsidRPr="00834DC6" w:rsidRDefault="005D4D0E" w:rsidP="00810A11">
      <w:pPr>
        <w:spacing w:line="276" w:lineRule="auto"/>
        <w:jc w:val="both"/>
        <w:rPr>
          <w:rFonts w:cs="Times New Roman"/>
          <w:sz w:val="24"/>
          <w:szCs w:val="24"/>
          <w:lang w:val="en-GB"/>
        </w:rPr>
      </w:pPr>
    </w:p>
    <w:p w14:paraId="4F93DAB2" w14:textId="77777777" w:rsidR="00B96B05" w:rsidRPr="00B96B05" w:rsidRDefault="00B96B05" w:rsidP="00B96B05">
      <w:pPr>
        <w:spacing w:line="276" w:lineRule="auto"/>
        <w:jc w:val="both"/>
        <w:rPr>
          <w:rFonts w:cs="Times New Roman"/>
          <w:sz w:val="24"/>
          <w:szCs w:val="24"/>
          <w:lang w:val="en-GB"/>
        </w:rPr>
      </w:pPr>
      <w:r w:rsidRPr="00B96B05">
        <w:rPr>
          <w:rFonts w:cs="Times New Roman"/>
          <w:sz w:val="24"/>
          <w:szCs w:val="24"/>
          <w:lang w:val="en-GB"/>
        </w:rPr>
        <w:t>Figure 2 presents the partial dependence of residential prices on elevation, expressed as percentage deviations from the sample mean.</w:t>
      </w:r>
    </w:p>
    <w:p w14:paraId="7639C8E9" w14:textId="77777777" w:rsidR="00B96B05" w:rsidRPr="00B96B05" w:rsidRDefault="00B96B05" w:rsidP="00B96B05">
      <w:pPr>
        <w:spacing w:line="276" w:lineRule="auto"/>
        <w:jc w:val="both"/>
        <w:rPr>
          <w:rFonts w:cs="Times New Roman"/>
          <w:sz w:val="24"/>
          <w:szCs w:val="24"/>
          <w:lang w:val="en-GB"/>
        </w:rPr>
      </w:pPr>
      <w:r w:rsidRPr="00B96B05">
        <w:rPr>
          <w:rFonts w:cs="Times New Roman"/>
          <w:sz w:val="24"/>
          <w:szCs w:val="24"/>
          <w:lang w:val="en-GB"/>
        </w:rPr>
        <w:t>The relationship is strongly nonlinear. Properties at very low elevations (≈1–2m above sea level) experience substantial valuation discounts of approximately 3.5–4.2%. This discount attenuates sharply between 2m and 3.2m, where predicted price effects increase by nearly five percentage points, transitioning from negative to positive territory.</w:t>
      </w:r>
    </w:p>
    <w:p w14:paraId="21DD8237" w14:textId="77777777" w:rsidR="00B96B05" w:rsidRPr="00B96B05" w:rsidRDefault="00B96B05" w:rsidP="00B96B05">
      <w:pPr>
        <w:spacing w:line="276" w:lineRule="auto"/>
        <w:jc w:val="both"/>
        <w:rPr>
          <w:rFonts w:cs="Times New Roman"/>
          <w:sz w:val="24"/>
          <w:szCs w:val="24"/>
          <w:lang w:val="en-GB"/>
        </w:rPr>
      </w:pPr>
      <w:r w:rsidRPr="00B96B05">
        <w:rPr>
          <w:rFonts w:cs="Times New Roman"/>
          <w:sz w:val="24"/>
          <w:szCs w:val="24"/>
          <w:lang w:val="en-GB"/>
        </w:rPr>
        <w:lastRenderedPageBreak/>
        <w:t>Beyond approximately 3m elevation, the pricing function enters a premium regime, peaking around 3.5–4m with valuation gains of roughly 2.5%. However, this premium diminishes gradually between 4m and 6m, suggesting decreasing marginal valuation of additional vertical safety. At elevations above approximately 6.5m, the relationship reverses, with predicted price effects declining and reaching approximately –2% at the upper bound of the sample (≈8m). Confidence intervals widen in this upper range, reflecting thinner data support.</w:t>
      </w:r>
    </w:p>
    <w:p w14:paraId="49D93D4A" w14:textId="77777777" w:rsidR="00B96B05" w:rsidRPr="00B96B05" w:rsidRDefault="00B96B05" w:rsidP="00B96B05">
      <w:pPr>
        <w:spacing w:line="276" w:lineRule="auto"/>
        <w:jc w:val="both"/>
        <w:rPr>
          <w:rFonts w:cs="Times New Roman"/>
          <w:sz w:val="24"/>
          <w:szCs w:val="24"/>
          <w:lang w:val="en-GB"/>
        </w:rPr>
      </w:pPr>
      <w:r w:rsidRPr="00B96B05">
        <w:rPr>
          <w:rFonts w:cs="Times New Roman"/>
          <w:sz w:val="24"/>
          <w:szCs w:val="24"/>
          <w:lang w:val="en-GB"/>
        </w:rPr>
        <w:t xml:space="preserve">These findings indicate the presence of an elevation threshold in market capitalization </w:t>
      </w:r>
      <w:proofErr w:type="spellStart"/>
      <w:r w:rsidRPr="00B96B05">
        <w:rPr>
          <w:rFonts w:cs="Times New Roman"/>
          <w:sz w:val="24"/>
          <w:szCs w:val="24"/>
          <w:lang w:val="en-GB"/>
        </w:rPr>
        <w:t>behavior</w:t>
      </w:r>
      <w:proofErr w:type="spellEnd"/>
      <w:r w:rsidRPr="00B96B05">
        <w:rPr>
          <w:rFonts w:cs="Times New Roman"/>
          <w:sz w:val="24"/>
          <w:szCs w:val="24"/>
          <w:lang w:val="en-GB"/>
        </w:rPr>
        <w:t>. The steep repricing between 2m and 3m suggests that buyers internalize nonlinear flood exposure risk rather than responding proportionally to incremental changes in elevation. Such curvature would be systematically underestimated in a linear hedonic specification.</w:t>
      </w:r>
    </w:p>
    <w:p w14:paraId="79021539" w14:textId="77777777" w:rsidR="00B96B05" w:rsidRPr="00834DC6" w:rsidRDefault="00B96B05" w:rsidP="00810A11">
      <w:pPr>
        <w:spacing w:line="276" w:lineRule="auto"/>
        <w:jc w:val="both"/>
        <w:rPr>
          <w:rFonts w:cs="Times New Roman"/>
          <w:sz w:val="24"/>
          <w:szCs w:val="24"/>
          <w:lang w:val="en-GB"/>
        </w:rPr>
      </w:pPr>
    </w:p>
    <w:p w14:paraId="447F5EBA" w14:textId="77777777" w:rsidR="00BD2E98" w:rsidRDefault="005D4D0E" w:rsidP="00BD2E98">
      <w:pPr>
        <w:keepNext/>
        <w:spacing w:line="276" w:lineRule="auto"/>
        <w:jc w:val="both"/>
      </w:pPr>
      <w:r w:rsidRPr="00834DC6">
        <w:rPr>
          <w:rFonts w:cs="Times New Roman"/>
          <w:noProof/>
          <w:sz w:val="24"/>
          <w:szCs w:val="24"/>
        </w:rPr>
        <w:drawing>
          <wp:inline distT="0" distB="0" distL="0" distR="0" wp14:anchorId="09A87AA7" wp14:editId="1E6B10CD">
            <wp:extent cx="5731510" cy="4264660"/>
            <wp:effectExtent l="0" t="0" r="2540" b="2540"/>
            <wp:docPr id="2029685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64660"/>
                    </a:xfrm>
                    <a:prstGeom prst="rect">
                      <a:avLst/>
                    </a:prstGeom>
                    <a:noFill/>
                    <a:ln>
                      <a:noFill/>
                    </a:ln>
                  </pic:spPr>
                </pic:pic>
              </a:graphicData>
            </a:graphic>
          </wp:inline>
        </w:drawing>
      </w:r>
    </w:p>
    <w:p w14:paraId="6CB154F1" w14:textId="6E6D9A56" w:rsidR="005D4D0E" w:rsidRPr="00834DC6" w:rsidRDefault="00BD2E98" w:rsidP="00BD2E98">
      <w:pPr>
        <w:pStyle w:val="Caption"/>
        <w:jc w:val="both"/>
        <w:rPr>
          <w:rFonts w:cs="Times New Roman"/>
          <w:sz w:val="24"/>
          <w:szCs w:val="24"/>
          <w:lang w:val="en-GB"/>
        </w:rPr>
      </w:pPr>
      <w:r>
        <w:t xml:space="preserve">Figure </w:t>
      </w:r>
      <w:r>
        <w:fldChar w:fldCharType="begin"/>
      </w:r>
      <w:r>
        <w:instrText xml:space="preserve"> SEQ Figure \* ARABIC </w:instrText>
      </w:r>
      <w:r>
        <w:fldChar w:fldCharType="separate"/>
      </w:r>
      <w:r>
        <w:rPr>
          <w:noProof/>
        </w:rPr>
        <w:t>3</w:t>
      </w:r>
      <w:r>
        <w:fldChar w:fldCharType="end"/>
      </w:r>
      <w:r>
        <w:rPr>
          <w:lang w:val="en-GB"/>
        </w:rPr>
        <w:t>: Partial Dependence of Residential Prices on Distance to Tidal Frontage</w:t>
      </w:r>
    </w:p>
    <w:p w14:paraId="4C3C7C05" w14:textId="4640B476" w:rsidR="005D4D0E" w:rsidRPr="00834DC6" w:rsidRDefault="005D4D0E" w:rsidP="00810A11">
      <w:pPr>
        <w:spacing w:line="276" w:lineRule="auto"/>
        <w:jc w:val="both"/>
        <w:rPr>
          <w:rFonts w:cs="Times New Roman"/>
          <w:sz w:val="24"/>
          <w:szCs w:val="24"/>
          <w:lang w:val="en-GB"/>
        </w:rPr>
      </w:pPr>
    </w:p>
    <w:p w14:paraId="2A168F0E" w14:textId="77777777" w:rsidR="00B26E3E" w:rsidRPr="00B26E3E" w:rsidRDefault="00B26E3E" w:rsidP="00B26E3E">
      <w:pPr>
        <w:spacing w:line="276" w:lineRule="auto"/>
        <w:jc w:val="both"/>
        <w:rPr>
          <w:rFonts w:cs="Times New Roman"/>
          <w:sz w:val="24"/>
          <w:szCs w:val="24"/>
          <w:lang w:val="en-GB"/>
        </w:rPr>
      </w:pPr>
      <w:r w:rsidRPr="00B26E3E">
        <w:rPr>
          <w:rFonts w:cs="Times New Roman"/>
          <w:sz w:val="24"/>
          <w:szCs w:val="24"/>
          <w:lang w:val="en-GB"/>
        </w:rPr>
        <w:t>Figure 3 illustrates the partial dependence of predicted prices on distance to tidal frontage (log-transformed distance). The relationship exhibits clear non-monotonicity.</w:t>
      </w:r>
    </w:p>
    <w:p w14:paraId="3E7AD2D2" w14:textId="77777777" w:rsidR="00B26E3E" w:rsidRPr="00B26E3E" w:rsidRDefault="00B26E3E" w:rsidP="00B26E3E">
      <w:pPr>
        <w:spacing w:line="276" w:lineRule="auto"/>
        <w:jc w:val="both"/>
        <w:rPr>
          <w:rFonts w:cs="Times New Roman"/>
          <w:sz w:val="24"/>
          <w:szCs w:val="24"/>
          <w:lang w:val="en-GB"/>
        </w:rPr>
      </w:pPr>
      <w:r w:rsidRPr="00B26E3E">
        <w:rPr>
          <w:rFonts w:cs="Times New Roman"/>
          <w:sz w:val="24"/>
          <w:szCs w:val="24"/>
          <w:lang w:val="en-GB"/>
        </w:rPr>
        <w:t xml:space="preserve">At shorter distances (left side of the distribution), the effect is slightly negative (approximately –0.7%), suggesting localized flood exposure or insurance-related pricing concerns in immediate proximity zones. However, as distance increases into the mid-range (approximately 5.0–6.2 in log scale), predicted price effects become positive, reaching premiums of </w:t>
      </w:r>
      <w:r w:rsidRPr="00B26E3E">
        <w:rPr>
          <w:rFonts w:cs="Times New Roman"/>
          <w:sz w:val="24"/>
          <w:szCs w:val="24"/>
          <w:lang w:val="en-GB"/>
        </w:rPr>
        <w:lastRenderedPageBreak/>
        <w:t>approximately 1.5–1.8%. This segment likely reflects amenity-driven valuation, where proximity to waterfront landscapes enhances housing desirability.</w:t>
      </w:r>
    </w:p>
    <w:p w14:paraId="08F687C0" w14:textId="77777777" w:rsidR="00B26E3E" w:rsidRPr="00B26E3E" w:rsidRDefault="00B26E3E" w:rsidP="00B26E3E">
      <w:pPr>
        <w:spacing w:line="276" w:lineRule="auto"/>
        <w:jc w:val="both"/>
        <w:rPr>
          <w:rFonts w:cs="Times New Roman"/>
          <w:sz w:val="24"/>
          <w:szCs w:val="24"/>
          <w:lang w:val="en-GB"/>
        </w:rPr>
      </w:pPr>
      <w:r w:rsidRPr="00B26E3E">
        <w:rPr>
          <w:rFonts w:cs="Times New Roman"/>
          <w:sz w:val="24"/>
          <w:szCs w:val="24"/>
          <w:lang w:val="en-GB"/>
        </w:rPr>
        <w:t>Beyond approximately 6.3–6.5 (log scale), the pricing effect declines steadily, crossing into negative territory and reaching discounts of approximately –2.5% at the far end of the distribution. This decline suggests diminishing amenity value combined with increasing spatial separation from high-demand waterfront corridors.</w:t>
      </w:r>
    </w:p>
    <w:p w14:paraId="74C292D5" w14:textId="77777777" w:rsidR="00B26E3E" w:rsidRPr="00B26E3E" w:rsidRDefault="00B26E3E" w:rsidP="00B26E3E">
      <w:pPr>
        <w:spacing w:line="276" w:lineRule="auto"/>
        <w:jc w:val="both"/>
        <w:rPr>
          <w:rFonts w:cs="Times New Roman"/>
          <w:sz w:val="24"/>
          <w:szCs w:val="24"/>
          <w:lang w:val="en-GB"/>
        </w:rPr>
      </w:pPr>
      <w:r w:rsidRPr="00B26E3E">
        <w:rPr>
          <w:rFonts w:cs="Times New Roman"/>
          <w:sz w:val="24"/>
          <w:szCs w:val="24"/>
          <w:lang w:val="en-GB"/>
        </w:rPr>
        <w:t>Taken together, the curve reveals a spatial trade-off between waterfront amenity and hydrological exposure. The market does not price river proximity linearly; instead, it capitalizes an interior optimal distance where amenity value dominates risk perception.</w:t>
      </w:r>
    </w:p>
    <w:p w14:paraId="4517A0EE" w14:textId="77777777" w:rsidR="005D4D0E" w:rsidRPr="00834DC6" w:rsidRDefault="005D4D0E" w:rsidP="00810A11">
      <w:pPr>
        <w:spacing w:line="276" w:lineRule="auto"/>
        <w:jc w:val="both"/>
        <w:rPr>
          <w:rFonts w:cs="Times New Roman"/>
          <w:sz w:val="24"/>
          <w:szCs w:val="24"/>
          <w:lang w:val="en-GB"/>
        </w:rPr>
      </w:pPr>
    </w:p>
    <w:p w14:paraId="4089C94F" w14:textId="77777777" w:rsidR="005D4D0E" w:rsidRPr="00834DC6" w:rsidRDefault="005D4D0E" w:rsidP="00810A11">
      <w:pPr>
        <w:spacing w:line="276" w:lineRule="auto"/>
        <w:jc w:val="both"/>
        <w:rPr>
          <w:rFonts w:cs="Times New Roman"/>
          <w:sz w:val="24"/>
          <w:szCs w:val="24"/>
          <w:lang w:val="en-GB"/>
        </w:rPr>
      </w:pPr>
    </w:p>
    <w:p w14:paraId="34C228B7" w14:textId="0C726818" w:rsidR="005D4D0E" w:rsidRPr="00834DC6" w:rsidRDefault="005D4D0E" w:rsidP="00810A11">
      <w:pPr>
        <w:spacing w:line="276" w:lineRule="auto"/>
        <w:jc w:val="both"/>
        <w:rPr>
          <w:rFonts w:cs="Times New Roman"/>
          <w:sz w:val="24"/>
          <w:szCs w:val="24"/>
          <w:lang w:val="en-GB"/>
        </w:rPr>
      </w:pPr>
      <w:r w:rsidRPr="00834DC6">
        <w:rPr>
          <w:rFonts w:cs="Times New Roman"/>
          <w:noProof/>
          <w:sz w:val="24"/>
          <w:szCs w:val="24"/>
        </w:rPr>
        <w:drawing>
          <wp:inline distT="0" distB="0" distL="0" distR="0" wp14:anchorId="7633259B" wp14:editId="436F4306">
            <wp:extent cx="5731510" cy="4363085"/>
            <wp:effectExtent l="0" t="0" r="2540" b="0"/>
            <wp:docPr id="1135421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363085"/>
                    </a:xfrm>
                    <a:prstGeom prst="rect">
                      <a:avLst/>
                    </a:prstGeom>
                    <a:noFill/>
                    <a:ln>
                      <a:noFill/>
                    </a:ln>
                  </pic:spPr>
                </pic:pic>
              </a:graphicData>
            </a:graphic>
          </wp:inline>
        </w:drawing>
      </w:r>
    </w:p>
    <w:p w14:paraId="7D357544" w14:textId="77777777" w:rsidR="005D4D0E" w:rsidRPr="00834DC6" w:rsidRDefault="005D4D0E" w:rsidP="00810A11">
      <w:pPr>
        <w:spacing w:line="276" w:lineRule="auto"/>
        <w:jc w:val="both"/>
        <w:rPr>
          <w:rFonts w:cs="Times New Roman"/>
          <w:sz w:val="24"/>
          <w:szCs w:val="24"/>
          <w:lang w:val="en-GB"/>
        </w:rPr>
      </w:pPr>
    </w:p>
    <w:p w14:paraId="4E21C987" w14:textId="77777777" w:rsidR="00715DCD" w:rsidRPr="00715DCD" w:rsidRDefault="00715DCD" w:rsidP="00715DCD">
      <w:pPr>
        <w:spacing w:line="276" w:lineRule="auto"/>
        <w:jc w:val="both"/>
        <w:rPr>
          <w:rFonts w:cs="Times New Roman"/>
          <w:sz w:val="24"/>
          <w:szCs w:val="24"/>
          <w:lang w:val="en-GB"/>
        </w:rPr>
      </w:pPr>
      <w:r w:rsidRPr="00715DCD">
        <w:rPr>
          <w:rFonts w:cs="Times New Roman"/>
          <w:sz w:val="24"/>
          <w:szCs w:val="24"/>
          <w:lang w:val="en-GB"/>
        </w:rPr>
        <w:t>Figure 4 reports SHAP (</w:t>
      </w:r>
      <w:proofErr w:type="spellStart"/>
      <w:r w:rsidRPr="00715DCD">
        <w:rPr>
          <w:rFonts w:cs="Times New Roman"/>
          <w:sz w:val="24"/>
          <w:szCs w:val="24"/>
          <w:lang w:val="en-GB"/>
        </w:rPr>
        <w:t>SHapley</w:t>
      </w:r>
      <w:proofErr w:type="spellEnd"/>
      <w:r w:rsidRPr="00715DCD">
        <w:rPr>
          <w:rFonts w:cs="Times New Roman"/>
          <w:sz w:val="24"/>
          <w:szCs w:val="24"/>
          <w:lang w:val="en-GB"/>
        </w:rPr>
        <w:t xml:space="preserve"> Additive </w:t>
      </w:r>
      <w:proofErr w:type="spellStart"/>
      <w:r w:rsidRPr="00715DCD">
        <w:rPr>
          <w:rFonts w:cs="Times New Roman"/>
          <w:sz w:val="24"/>
          <w:szCs w:val="24"/>
          <w:lang w:val="en-GB"/>
        </w:rPr>
        <w:t>exPlanations</w:t>
      </w:r>
      <w:proofErr w:type="spellEnd"/>
      <w:r w:rsidRPr="00715DCD">
        <w:rPr>
          <w:rFonts w:cs="Times New Roman"/>
          <w:sz w:val="24"/>
          <w:szCs w:val="24"/>
          <w:lang w:val="en-GB"/>
        </w:rPr>
        <w:t>) values, ranking global feature importance based on contribution to model output.</w:t>
      </w:r>
    </w:p>
    <w:p w14:paraId="013D1AB6" w14:textId="77777777" w:rsidR="00715DCD" w:rsidRPr="00715DCD" w:rsidRDefault="00715DCD" w:rsidP="00715DCD">
      <w:pPr>
        <w:spacing w:line="276" w:lineRule="auto"/>
        <w:jc w:val="both"/>
        <w:rPr>
          <w:rFonts w:cs="Times New Roman"/>
          <w:sz w:val="24"/>
          <w:szCs w:val="24"/>
          <w:lang w:val="en-GB"/>
        </w:rPr>
      </w:pPr>
      <w:r w:rsidRPr="00715DCD">
        <w:rPr>
          <w:rFonts w:cs="Times New Roman"/>
          <w:sz w:val="24"/>
          <w:szCs w:val="24"/>
          <w:lang w:val="en-GB"/>
        </w:rPr>
        <w:t>The most influential predictors include:</w:t>
      </w:r>
    </w:p>
    <w:p w14:paraId="2036635A" w14:textId="77777777" w:rsidR="00715DCD" w:rsidRPr="00715DCD" w:rsidRDefault="00715DCD" w:rsidP="00B017ED">
      <w:pPr>
        <w:numPr>
          <w:ilvl w:val="0"/>
          <w:numId w:val="3"/>
        </w:numPr>
        <w:jc w:val="both"/>
        <w:rPr>
          <w:rFonts w:cs="Times New Roman"/>
          <w:sz w:val="24"/>
          <w:szCs w:val="24"/>
          <w:lang w:val="en-GB"/>
        </w:rPr>
      </w:pPr>
      <w:r w:rsidRPr="00715DCD">
        <w:rPr>
          <w:rFonts w:cs="Times New Roman"/>
          <w:sz w:val="24"/>
          <w:szCs w:val="24"/>
          <w:lang w:val="en-GB"/>
        </w:rPr>
        <w:t>Year (temporal market cycle effects)</w:t>
      </w:r>
    </w:p>
    <w:p w14:paraId="618E461E" w14:textId="77777777" w:rsidR="00715DCD" w:rsidRPr="00715DCD" w:rsidRDefault="00715DCD" w:rsidP="00B017ED">
      <w:pPr>
        <w:numPr>
          <w:ilvl w:val="0"/>
          <w:numId w:val="3"/>
        </w:numPr>
        <w:jc w:val="both"/>
        <w:rPr>
          <w:rFonts w:cs="Times New Roman"/>
          <w:sz w:val="24"/>
          <w:szCs w:val="24"/>
          <w:lang w:val="en-GB"/>
        </w:rPr>
      </w:pPr>
      <w:r w:rsidRPr="00715DCD">
        <w:rPr>
          <w:rFonts w:cs="Times New Roman"/>
          <w:sz w:val="24"/>
          <w:szCs w:val="24"/>
          <w:lang w:val="en-GB"/>
        </w:rPr>
        <w:t>Total floor area</w:t>
      </w:r>
    </w:p>
    <w:p w14:paraId="2A24CABF" w14:textId="77777777" w:rsidR="00715DCD" w:rsidRPr="00715DCD" w:rsidRDefault="00715DCD" w:rsidP="00B017ED">
      <w:pPr>
        <w:numPr>
          <w:ilvl w:val="0"/>
          <w:numId w:val="3"/>
        </w:numPr>
        <w:jc w:val="both"/>
        <w:rPr>
          <w:rFonts w:cs="Times New Roman"/>
          <w:sz w:val="24"/>
          <w:szCs w:val="24"/>
          <w:lang w:val="en-GB"/>
        </w:rPr>
      </w:pPr>
      <w:r w:rsidRPr="00715DCD">
        <w:rPr>
          <w:rFonts w:cs="Times New Roman"/>
          <w:sz w:val="24"/>
          <w:szCs w:val="24"/>
          <w:lang w:val="en-GB"/>
        </w:rPr>
        <w:lastRenderedPageBreak/>
        <w:t>Policy Management Unit (PMU) indicators</w:t>
      </w:r>
    </w:p>
    <w:p w14:paraId="6082DB73" w14:textId="77777777" w:rsidR="00715DCD" w:rsidRPr="00715DCD" w:rsidRDefault="00715DCD" w:rsidP="00B017ED">
      <w:pPr>
        <w:numPr>
          <w:ilvl w:val="0"/>
          <w:numId w:val="3"/>
        </w:numPr>
        <w:jc w:val="both"/>
        <w:rPr>
          <w:rFonts w:cs="Times New Roman"/>
          <w:sz w:val="24"/>
          <w:szCs w:val="24"/>
          <w:lang w:val="en-GB"/>
        </w:rPr>
      </w:pPr>
      <w:r w:rsidRPr="00715DCD">
        <w:rPr>
          <w:rFonts w:cs="Times New Roman"/>
          <w:sz w:val="24"/>
          <w:szCs w:val="24"/>
          <w:lang w:val="en-GB"/>
        </w:rPr>
        <w:t>Property type</w:t>
      </w:r>
    </w:p>
    <w:p w14:paraId="1729B15B" w14:textId="77777777" w:rsidR="00715DCD" w:rsidRPr="00715DCD" w:rsidRDefault="00715DCD" w:rsidP="00B017ED">
      <w:pPr>
        <w:numPr>
          <w:ilvl w:val="0"/>
          <w:numId w:val="3"/>
        </w:numPr>
        <w:jc w:val="both"/>
        <w:rPr>
          <w:rFonts w:cs="Times New Roman"/>
          <w:sz w:val="24"/>
          <w:szCs w:val="24"/>
          <w:lang w:val="en-GB"/>
        </w:rPr>
      </w:pPr>
      <w:r w:rsidRPr="00715DCD">
        <w:rPr>
          <w:rFonts w:cs="Times New Roman"/>
          <w:sz w:val="24"/>
          <w:szCs w:val="24"/>
          <w:lang w:val="en-GB"/>
        </w:rPr>
        <w:t>Elevation</w:t>
      </w:r>
    </w:p>
    <w:p w14:paraId="3585BD16" w14:textId="77777777" w:rsidR="00715DCD" w:rsidRPr="00715DCD" w:rsidRDefault="00715DCD" w:rsidP="00B017ED">
      <w:pPr>
        <w:numPr>
          <w:ilvl w:val="0"/>
          <w:numId w:val="3"/>
        </w:numPr>
        <w:jc w:val="both"/>
        <w:rPr>
          <w:rFonts w:cs="Times New Roman"/>
          <w:sz w:val="24"/>
          <w:szCs w:val="24"/>
          <w:lang w:val="en-GB"/>
        </w:rPr>
      </w:pPr>
      <w:r w:rsidRPr="00715DCD">
        <w:rPr>
          <w:rFonts w:cs="Times New Roman"/>
          <w:sz w:val="24"/>
          <w:szCs w:val="24"/>
          <w:lang w:val="en-GB"/>
        </w:rPr>
        <w:t>Distance to river</w:t>
      </w:r>
    </w:p>
    <w:p w14:paraId="66B3C457" w14:textId="77777777" w:rsidR="00715DCD" w:rsidRPr="00715DCD" w:rsidRDefault="00715DCD" w:rsidP="00715DCD">
      <w:pPr>
        <w:spacing w:line="276" w:lineRule="auto"/>
        <w:jc w:val="both"/>
        <w:rPr>
          <w:rFonts w:cs="Times New Roman"/>
          <w:sz w:val="24"/>
          <w:szCs w:val="24"/>
          <w:lang w:val="en-GB"/>
        </w:rPr>
      </w:pPr>
      <w:r w:rsidRPr="00715DCD">
        <w:rPr>
          <w:rFonts w:cs="Times New Roman"/>
          <w:sz w:val="24"/>
          <w:szCs w:val="24"/>
          <w:lang w:val="en-GB"/>
        </w:rPr>
        <w:t>The prominence of PMU classifications (e.g., Wandsworth to Deptford, Isle of Dogs &amp; Lea Valley, Royal Docks, Greenwich) indicates that regulatory geography materially influences predicted valuations. This supports the hypothesis that spatial climate governance frameworks are capitalized into housing prices.</w:t>
      </w:r>
    </w:p>
    <w:p w14:paraId="19802529" w14:textId="77777777" w:rsidR="00715DCD" w:rsidRPr="00715DCD" w:rsidRDefault="00715DCD" w:rsidP="00715DCD">
      <w:pPr>
        <w:spacing w:line="276" w:lineRule="auto"/>
        <w:jc w:val="both"/>
        <w:rPr>
          <w:rFonts w:cs="Times New Roman"/>
          <w:sz w:val="24"/>
          <w:szCs w:val="24"/>
          <w:lang w:val="en-GB"/>
        </w:rPr>
      </w:pPr>
      <w:r w:rsidRPr="00715DCD">
        <w:rPr>
          <w:rFonts w:cs="Times New Roman"/>
          <w:sz w:val="24"/>
          <w:szCs w:val="24"/>
          <w:lang w:val="en-GB"/>
        </w:rPr>
        <w:t xml:space="preserve">Elevation and distance to river appear mid-ranking but exhibit wide dispersion in SHAP values, indicating heterogeneous effects across observations. Importantly, the </w:t>
      </w:r>
      <w:proofErr w:type="spellStart"/>
      <w:r w:rsidRPr="00715DCD">
        <w:rPr>
          <w:rFonts w:cs="Times New Roman"/>
          <w:sz w:val="24"/>
          <w:szCs w:val="24"/>
          <w:lang w:val="en-GB"/>
        </w:rPr>
        <w:t>color</w:t>
      </w:r>
      <w:proofErr w:type="spellEnd"/>
      <w:r w:rsidRPr="00715DCD">
        <w:rPr>
          <w:rFonts w:cs="Times New Roman"/>
          <w:sz w:val="24"/>
          <w:szCs w:val="24"/>
          <w:lang w:val="en-GB"/>
        </w:rPr>
        <w:t xml:space="preserve"> gradients reveal interaction effects: high elevation values (red points) are generally associated with positive SHAP contributions, whereas low elevation values (blue points) tend to reduce predicted prices. Similar heterogeneity appears for river distance, confirming the nonlinear PDP patterns.</w:t>
      </w:r>
    </w:p>
    <w:p w14:paraId="641E4A6B" w14:textId="77777777" w:rsidR="00715DCD" w:rsidRPr="00715DCD" w:rsidRDefault="00715DCD" w:rsidP="00715DCD">
      <w:pPr>
        <w:spacing w:line="276" w:lineRule="auto"/>
        <w:jc w:val="both"/>
        <w:rPr>
          <w:rFonts w:cs="Times New Roman"/>
          <w:sz w:val="24"/>
          <w:szCs w:val="24"/>
          <w:lang w:val="en-GB"/>
        </w:rPr>
      </w:pPr>
      <w:r w:rsidRPr="00715DCD">
        <w:rPr>
          <w:rFonts w:cs="Times New Roman"/>
          <w:sz w:val="24"/>
          <w:szCs w:val="24"/>
          <w:lang w:val="en-GB"/>
        </w:rPr>
        <w:t>The dispersion of SHAP values around zero for several PMU indicators further suggests localized heterogeneity rather than uniform zone-wide pricing effects. This reinforces the value of machine learning models capable of capturing interaction terms and nonlinear responses.</w:t>
      </w:r>
    </w:p>
    <w:p w14:paraId="6C89EA56" w14:textId="77777777" w:rsidR="005D4D0E" w:rsidRPr="00834DC6" w:rsidRDefault="005D4D0E" w:rsidP="00810A11">
      <w:pPr>
        <w:spacing w:line="276" w:lineRule="auto"/>
        <w:jc w:val="both"/>
        <w:rPr>
          <w:rFonts w:cs="Times New Roman"/>
          <w:sz w:val="24"/>
          <w:szCs w:val="24"/>
          <w:lang w:val="en-GB"/>
        </w:rPr>
      </w:pPr>
    </w:p>
    <w:p w14:paraId="6634925B" w14:textId="239367BD" w:rsidR="005D4D0E" w:rsidRPr="00834DC6" w:rsidRDefault="005D4D0E" w:rsidP="00810A11">
      <w:pPr>
        <w:spacing w:line="276" w:lineRule="auto"/>
        <w:jc w:val="both"/>
        <w:rPr>
          <w:rFonts w:cs="Times New Roman"/>
          <w:sz w:val="24"/>
          <w:szCs w:val="24"/>
          <w:lang w:val="en-GB"/>
        </w:rPr>
      </w:pPr>
      <w:r w:rsidRPr="00834DC6">
        <w:rPr>
          <w:rFonts w:cs="Times New Roman"/>
          <w:noProof/>
          <w:sz w:val="24"/>
          <w:szCs w:val="24"/>
        </w:rPr>
        <w:drawing>
          <wp:inline distT="0" distB="0" distL="0" distR="0" wp14:anchorId="3BBF4F73" wp14:editId="5C8DB540">
            <wp:extent cx="5731510" cy="2753995"/>
            <wp:effectExtent l="0" t="0" r="2540" b="8255"/>
            <wp:docPr id="2056741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3318FC9C" w14:textId="77777777" w:rsidR="005D4D0E" w:rsidRPr="00834DC6" w:rsidRDefault="005D4D0E" w:rsidP="00810A11">
      <w:pPr>
        <w:spacing w:line="276" w:lineRule="auto"/>
        <w:jc w:val="both"/>
        <w:rPr>
          <w:rFonts w:cs="Times New Roman"/>
          <w:sz w:val="24"/>
          <w:szCs w:val="24"/>
          <w:lang w:val="en-GB"/>
        </w:rPr>
      </w:pPr>
    </w:p>
    <w:p w14:paraId="6C0B2735" w14:textId="77777777" w:rsidR="005D4D0E" w:rsidRPr="00834DC6" w:rsidRDefault="005D4D0E" w:rsidP="00810A11">
      <w:pPr>
        <w:spacing w:line="276" w:lineRule="auto"/>
        <w:jc w:val="both"/>
        <w:rPr>
          <w:rFonts w:cs="Times New Roman"/>
          <w:sz w:val="24"/>
          <w:szCs w:val="24"/>
          <w:lang w:val="en-GB"/>
        </w:rPr>
      </w:pPr>
    </w:p>
    <w:p w14:paraId="36A50AE8" w14:textId="77777777" w:rsidR="005D4D0E" w:rsidRPr="00834DC6" w:rsidRDefault="005D4D0E" w:rsidP="00810A11">
      <w:pPr>
        <w:spacing w:line="276" w:lineRule="auto"/>
        <w:jc w:val="both"/>
        <w:rPr>
          <w:rFonts w:cs="Times New Roman"/>
          <w:sz w:val="24"/>
          <w:szCs w:val="24"/>
          <w:lang w:val="en-GB"/>
        </w:rPr>
      </w:pPr>
    </w:p>
    <w:p w14:paraId="42FF6B7B" w14:textId="5467D881" w:rsidR="005D4D0E" w:rsidRPr="00834DC6" w:rsidRDefault="005D4D0E" w:rsidP="00810A11">
      <w:pPr>
        <w:spacing w:line="276" w:lineRule="auto"/>
        <w:jc w:val="both"/>
        <w:rPr>
          <w:rFonts w:cs="Times New Roman"/>
          <w:sz w:val="24"/>
          <w:szCs w:val="24"/>
          <w:lang w:val="en-GB"/>
        </w:rPr>
      </w:pPr>
      <w:r w:rsidRPr="00834DC6">
        <w:rPr>
          <w:rFonts w:cs="Times New Roman"/>
          <w:noProof/>
          <w:sz w:val="24"/>
          <w:szCs w:val="24"/>
        </w:rPr>
        <w:lastRenderedPageBreak/>
        <w:drawing>
          <wp:inline distT="0" distB="0" distL="0" distR="0" wp14:anchorId="4B595335" wp14:editId="1D92E632">
            <wp:extent cx="6115050" cy="2695575"/>
            <wp:effectExtent l="0" t="0" r="0" b="9525"/>
            <wp:docPr id="645896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2695575"/>
                    </a:xfrm>
                    <a:prstGeom prst="rect">
                      <a:avLst/>
                    </a:prstGeom>
                    <a:noFill/>
                    <a:ln>
                      <a:noFill/>
                    </a:ln>
                  </pic:spPr>
                </pic:pic>
              </a:graphicData>
            </a:graphic>
          </wp:inline>
        </w:drawing>
      </w:r>
    </w:p>
    <w:p w14:paraId="2FA9E296" w14:textId="77777777" w:rsidR="005D4D0E" w:rsidRPr="00834DC6" w:rsidRDefault="005D4D0E" w:rsidP="00810A11">
      <w:pPr>
        <w:spacing w:line="276" w:lineRule="auto"/>
        <w:jc w:val="both"/>
        <w:rPr>
          <w:rFonts w:cs="Times New Roman"/>
          <w:sz w:val="24"/>
          <w:szCs w:val="24"/>
          <w:lang w:val="en-GB"/>
        </w:rPr>
      </w:pPr>
    </w:p>
    <w:p w14:paraId="67BC93E5" w14:textId="77777777" w:rsidR="003751E5" w:rsidRPr="003751E5" w:rsidRDefault="003751E5" w:rsidP="003751E5">
      <w:pPr>
        <w:spacing w:line="276" w:lineRule="auto"/>
        <w:jc w:val="both"/>
        <w:rPr>
          <w:rFonts w:cs="Times New Roman"/>
          <w:sz w:val="24"/>
          <w:szCs w:val="24"/>
          <w:lang w:val="en-GB"/>
        </w:rPr>
      </w:pPr>
      <w:r w:rsidRPr="003751E5">
        <w:rPr>
          <w:rFonts w:cs="Times New Roman"/>
          <w:sz w:val="24"/>
          <w:szCs w:val="24"/>
          <w:lang w:val="en-GB"/>
        </w:rPr>
        <w:t>Figure 5 reveals significant spatial non-linearity in how climate-induced physical risks are capitalized into property valuations. While the stress-test applies a consistent intensification factor across the study area, the resulting valuation impact (ranging from -14.73% to +11.44%) is highly localized.</w:t>
      </w:r>
    </w:p>
    <w:p w14:paraId="4882B313" w14:textId="144CAFB1" w:rsidR="003751E5" w:rsidRPr="003751E5" w:rsidRDefault="003751E5" w:rsidP="003751E5">
      <w:pPr>
        <w:numPr>
          <w:ilvl w:val="0"/>
          <w:numId w:val="4"/>
        </w:numPr>
        <w:spacing w:line="276" w:lineRule="auto"/>
        <w:jc w:val="both"/>
        <w:rPr>
          <w:rFonts w:cs="Times New Roman"/>
          <w:sz w:val="24"/>
          <w:szCs w:val="24"/>
          <w:lang w:val="en-GB"/>
        </w:rPr>
      </w:pPr>
      <w:r w:rsidRPr="003751E5">
        <w:rPr>
          <w:rFonts w:cs="Times New Roman"/>
          <w:sz w:val="24"/>
          <w:szCs w:val="24"/>
          <w:lang w:val="en-GB"/>
        </w:rPr>
        <w:t>Vulnerability Hotspots: The dark red clusters (&lt;-3.54</w:t>
      </w:r>
      <w:r w:rsidR="00B017ED">
        <w:rPr>
          <w:rFonts w:cs="Times New Roman"/>
          <w:sz w:val="24"/>
          <w:szCs w:val="24"/>
          <w:lang w:val="en-GB"/>
        </w:rPr>
        <w:t>%</w:t>
      </w:r>
      <w:r w:rsidRPr="003751E5">
        <w:rPr>
          <w:rFonts w:cs="Times New Roman"/>
          <w:sz w:val="24"/>
          <w:szCs w:val="24"/>
          <w:lang w:val="en-GB"/>
        </w:rPr>
        <w:t>) are concentrated in low-lying riparian corridors and estuarine zones (e.g., Tilbury, Gravesend, and Canvey Island). This suggests that the model identifies a compounding effect where proximity to water sources acts as a primary risk multiplier for lower-elevation assets.</w:t>
      </w:r>
    </w:p>
    <w:p w14:paraId="591CB58B" w14:textId="70AD38E9" w:rsidR="003751E5" w:rsidRDefault="003751E5" w:rsidP="003751E5">
      <w:pPr>
        <w:numPr>
          <w:ilvl w:val="0"/>
          <w:numId w:val="4"/>
        </w:numPr>
        <w:spacing w:line="276" w:lineRule="auto"/>
        <w:jc w:val="both"/>
        <w:rPr>
          <w:rFonts w:cs="Times New Roman"/>
          <w:sz w:val="24"/>
          <w:szCs w:val="24"/>
          <w:lang w:val="en-GB"/>
        </w:rPr>
      </w:pPr>
      <w:r w:rsidRPr="003751E5">
        <w:rPr>
          <w:rFonts w:cs="Times New Roman"/>
          <w:sz w:val="24"/>
          <w:szCs w:val="24"/>
          <w:lang w:val="en-GB"/>
        </w:rPr>
        <w:t>Localized Resilience: Conversely, the green nodes (&gt;3.92</w:t>
      </w:r>
      <w:r w:rsidR="00B017ED">
        <w:rPr>
          <w:rFonts w:cs="Times New Roman"/>
          <w:sz w:val="24"/>
          <w:szCs w:val="24"/>
          <w:lang w:val="en-GB"/>
        </w:rPr>
        <w:t>%</w:t>
      </w:r>
      <w:r w:rsidRPr="003751E5">
        <w:rPr>
          <w:rFonts w:cs="Times New Roman"/>
          <w:sz w:val="24"/>
          <w:szCs w:val="24"/>
          <w:lang w:val="en-GB"/>
        </w:rPr>
        <w:t>) represent "islands of resilience." These are properties that, despite geographic proximity to risk zones, possess structural attributes</w:t>
      </w:r>
      <w:r w:rsidR="00200512">
        <w:rPr>
          <w:rFonts w:cs="Times New Roman"/>
          <w:sz w:val="24"/>
          <w:szCs w:val="24"/>
          <w:lang w:val="en-GB"/>
        </w:rPr>
        <w:t xml:space="preserve">, </w:t>
      </w:r>
      <w:r w:rsidRPr="003751E5">
        <w:rPr>
          <w:rFonts w:cs="Times New Roman"/>
          <w:sz w:val="24"/>
          <w:szCs w:val="24"/>
          <w:lang w:val="en-GB"/>
        </w:rPr>
        <w:t>such as superior energy efficiency ratings or larger habitable floor areas</w:t>
      </w:r>
      <w:r w:rsidR="00200512">
        <w:rPr>
          <w:rFonts w:cs="Times New Roman"/>
          <w:sz w:val="24"/>
          <w:szCs w:val="24"/>
          <w:lang w:val="en-GB"/>
        </w:rPr>
        <w:t xml:space="preserve">, </w:t>
      </w:r>
      <w:r w:rsidRPr="003751E5">
        <w:rPr>
          <w:rFonts w:cs="Times New Roman"/>
          <w:sz w:val="24"/>
          <w:szCs w:val="24"/>
          <w:lang w:val="en-GB"/>
        </w:rPr>
        <w:t>that the market appears to price as a defensive hedge against physical shocks.</w:t>
      </w:r>
    </w:p>
    <w:p w14:paraId="040E917A" w14:textId="77777777" w:rsidR="00834DC6" w:rsidRDefault="00834DC6" w:rsidP="00834DC6">
      <w:pPr>
        <w:spacing w:line="276" w:lineRule="auto"/>
        <w:jc w:val="both"/>
        <w:rPr>
          <w:rFonts w:cs="Times New Roman"/>
          <w:sz w:val="24"/>
          <w:szCs w:val="24"/>
          <w:lang w:val="en-GB"/>
        </w:rPr>
      </w:pPr>
    </w:p>
    <w:p w14:paraId="2C3A2228" w14:textId="35B054F8" w:rsidR="00834DC6" w:rsidRPr="00200512" w:rsidRDefault="00834DC6" w:rsidP="0048000E">
      <w:pPr>
        <w:spacing w:after="0" w:line="276" w:lineRule="auto"/>
        <w:jc w:val="both"/>
        <w:rPr>
          <w:rFonts w:cs="Times New Roman"/>
          <w:b/>
          <w:bCs/>
          <w:sz w:val="24"/>
          <w:szCs w:val="24"/>
          <w:lang w:val="en-GB"/>
        </w:rPr>
      </w:pPr>
      <w:r w:rsidRPr="00200512">
        <w:rPr>
          <w:rFonts w:cs="Times New Roman"/>
          <w:b/>
          <w:bCs/>
          <w:sz w:val="24"/>
          <w:szCs w:val="24"/>
          <w:lang w:val="en-GB"/>
        </w:rPr>
        <w:t xml:space="preserve">Table </w:t>
      </w:r>
      <w:r w:rsidR="00160F52">
        <w:rPr>
          <w:rFonts w:cs="Times New Roman"/>
          <w:b/>
          <w:bCs/>
          <w:sz w:val="24"/>
          <w:szCs w:val="24"/>
          <w:lang w:val="en-GB"/>
        </w:rPr>
        <w:t>3</w:t>
      </w:r>
      <w:r w:rsidRPr="00200512">
        <w:rPr>
          <w:rFonts w:cs="Times New Roman"/>
          <w:b/>
          <w:bCs/>
          <w:sz w:val="24"/>
          <w:szCs w:val="24"/>
          <w:lang w:val="en-GB"/>
        </w:rPr>
        <w:t xml:space="preserve">: </w:t>
      </w:r>
      <w:r w:rsidR="00021265" w:rsidRPr="00200512">
        <w:rPr>
          <w:rFonts w:cs="Times New Roman"/>
          <w:b/>
          <w:bCs/>
          <w:sz w:val="24"/>
          <w:szCs w:val="24"/>
        </w:rPr>
        <w:t>Observed vs Projected Climate Risk Capitalization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021265" w14:paraId="4CC30175" w14:textId="77777777" w:rsidTr="00690881">
        <w:tc>
          <w:tcPr>
            <w:tcW w:w="3005" w:type="dxa"/>
            <w:tcBorders>
              <w:top w:val="single" w:sz="4" w:space="0" w:color="auto"/>
              <w:bottom w:val="single" w:sz="4" w:space="0" w:color="auto"/>
            </w:tcBorders>
          </w:tcPr>
          <w:p w14:paraId="6A0A7AD5" w14:textId="5244221B" w:rsidR="00021265" w:rsidRPr="0048000E" w:rsidRDefault="00021265" w:rsidP="00834DC6">
            <w:pPr>
              <w:spacing w:line="276" w:lineRule="auto"/>
              <w:jc w:val="both"/>
              <w:rPr>
                <w:rFonts w:cs="Times New Roman"/>
                <w:b/>
                <w:bCs/>
                <w:sz w:val="24"/>
                <w:szCs w:val="24"/>
                <w:lang w:val="en-GB"/>
              </w:rPr>
            </w:pPr>
            <w:r w:rsidRPr="0048000E">
              <w:rPr>
                <w:rFonts w:cs="Times New Roman"/>
                <w:b/>
                <w:bCs/>
                <w:sz w:val="24"/>
                <w:szCs w:val="24"/>
                <w:lang w:val="en-GB"/>
              </w:rPr>
              <w:t>Measure</w:t>
            </w:r>
          </w:p>
        </w:tc>
        <w:tc>
          <w:tcPr>
            <w:tcW w:w="3005" w:type="dxa"/>
            <w:tcBorders>
              <w:top w:val="single" w:sz="4" w:space="0" w:color="auto"/>
              <w:bottom w:val="single" w:sz="4" w:space="0" w:color="auto"/>
            </w:tcBorders>
          </w:tcPr>
          <w:p w14:paraId="2F173F3B" w14:textId="3878768E" w:rsidR="00021265" w:rsidRPr="0048000E" w:rsidRDefault="00021265" w:rsidP="00834DC6">
            <w:pPr>
              <w:spacing w:line="276" w:lineRule="auto"/>
              <w:jc w:val="both"/>
              <w:rPr>
                <w:rFonts w:cs="Times New Roman"/>
                <w:b/>
                <w:bCs/>
                <w:sz w:val="24"/>
                <w:szCs w:val="24"/>
                <w:lang w:val="en-GB"/>
              </w:rPr>
            </w:pPr>
            <w:r w:rsidRPr="0048000E">
              <w:rPr>
                <w:rFonts w:cs="Times New Roman"/>
                <w:b/>
                <w:bCs/>
                <w:sz w:val="24"/>
                <w:szCs w:val="24"/>
                <w:lang w:val="en-GB"/>
              </w:rPr>
              <w:t>Estimated Effect (%)</w:t>
            </w:r>
          </w:p>
        </w:tc>
        <w:tc>
          <w:tcPr>
            <w:tcW w:w="3006" w:type="dxa"/>
            <w:tcBorders>
              <w:top w:val="single" w:sz="4" w:space="0" w:color="auto"/>
              <w:bottom w:val="single" w:sz="4" w:space="0" w:color="auto"/>
            </w:tcBorders>
          </w:tcPr>
          <w:p w14:paraId="29E18BF5" w14:textId="69623E5E" w:rsidR="00021265" w:rsidRPr="0048000E" w:rsidRDefault="0028471B" w:rsidP="00834DC6">
            <w:pPr>
              <w:spacing w:line="276" w:lineRule="auto"/>
              <w:jc w:val="both"/>
              <w:rPr>
                <w:rFonts w:cs="Times New Roman"/>
                <w:b/>
                <w:bCs/>
                <w:sz w:val="24"/>
                <w:szCs w:val="24"/>
                <w:lang w:val="en-GB"/>
              </w:rPr>
            </w:pPr>
            <w:r>
              <w:rPr>
                <w:rFonts w:cs="Times New Roman"/>
                <w:b/>
                <w:bCs/>
                <w:sz w:val="24"/>
                <w:szCs w:val="24"/>
                <w:lang w:val="en-GB"/>
              </w:rPr>
              <w:t>Meaning</w:t>
            </w:r>
          </w:p>
        </w:tc>
      </w:tr>
      <w:tr w:rsidR="00021265" w14:paraId="75557F23" w14:textId="77777777" w:rsidTr="00690881">
        <w:tc>
          <w:tcPr>
            <w:tcW w:w="3005" w:type="dxa"/>
            <w:tcBorders>
              <w:top w:val="single" w:sz="4" w:space="0" w:color="auto"/>
            </w:tcBorders>
          </w:tcPr>
          <w:p w14:paraId="701BBBF8" w14:textId="1E9FDD01" w:rsidR="00021265" w:rsidRPr="00690881" w:rsidRDefault="001A6950" w:rsidP="00834DC6">
            <w:pPr>
              <w:spacing w:line="276" w:lineRule="auto"/>
              <w:jc w:val="both"/>
              <w:rPr>
                <w:rFonts w:cs="Times New Roman"/>
                <w:sz w:val="20"/>
                <w:szCs w:val="20"/>
                <w:lang w:val="en-GB"/>
              </w:rPr>
            </w:pPr>
            <w:r w:rsidRPr="00690881">
              <w:rPr>
                <w:rFonts w:cs="Times New Roman"/>
                <w:sz w:val="20"/>
                <w:szCs w:val="20"/>
              </w:rPr>
              <w:t>Observed High-Risk Zone Discount (SHAP-based)</w:t>
            </w:r>
          </w:p>
        </w:tc>
        <w:tc>
          <w:tcPr>
            <w:tcW w:w="3005" w:type="dxa"/>
            <w:tcBorders>
              <w:top w:val="single" w:sz="4" w:space="0" w:color="auto"/>
            </w:tcBorders>
          </w:tcPr>
          <w:p w14:paraId="73070A75" w14:textId="5D2372CD" w:rsidR="00021265" w:rsidRDefault="001A6950" w:rsidP="00690881">
            <w:pPr>
              <w:spacing w:line="276" w:lineRule="auto"/>
              <w:jc w:val="center"/>
              <w:rPr>
                <w:rFonts w:cs="Times New Roman"/>
                <w:sz w:val="24"/>
                <w:szCs w:val="24"/>
                <w:lang w:val="en-GB"/>
              </w:rPr>
            </w:pPr>
            <w:r>
              <w:rPr>
                <w:rFonts w:cs="Times New Roman"/>
                <w:sz w:val="24"/>
                <w:szCs w:val="24"/>
                <w:lang w:val="en-GB"/>
              </w:rPr>
              <w:t>-0.63</w:t>
            </w:r>
          </w:p>
        </w:tc>
        <w:tc>
          <w:tcPr>
            <w:tcW w:w="3006" w:type="dxa"/>
            <w:tcBorders>
              <w:top w:val="single" w:sz="4" w:space="0" w:color="auto"/>
            </w:tcBorders>
          </w:tcPr>
          <w:p w14:paraId="702923F6" w14:textId="7D877F31" w:rsidR="00021265" w:rsidRPr="00690881" w:rsidRDefault="001A6950" w:rsidP="00834DC6">
            <w:pPr>
              <w:spacing w:line="276" w:lineRule="auto"/>
              <w:jc w:val="both"/>
              <w:rPr>
                <w:rFonts w:cs="Times New Roman"/>
                <w:sz w:val="20"/>
                <w:szCs w:val="20"/>
                <w:lang w:val="en-GB"/>
              </w:rPr>
            </w:pPr>
            <w:r w:rsidRPr="00690881">
              <w:rPr>
                <w:rFonts w:cs="Times New Roman"/>
                <w:sz w:val="20"/>
                <w:szCs w:val="20"/>
              </w:rPr>
              <w:t>Average current market pricing of high flood risk</w:t>
            </w:r>
          </w:p>
        </w:tc>
      </w:tr>
      <w:tr w:rsidR="00021265" w14:paraId="6F1E5652" w14:textId="77777777" w:rsidTr="00690881">
        <w:tc>
          <w:tcPr>
            <w:tcW w:w="3005" w:type="dxa"/>
          </w:tcPr>
          <w:p w14:paraId="6BFB5BC5" w14:textId="642E2528" w:rsidR="00021265" w:rsidRPr="00690881" w:rsidRDefault="00E235EE" w:rsidP="00834DC6">
            <w:pPr>
              <w:spacing w:line="276" w:lineRule="auto"/>
              <w:jc w:val="both"/>
              <w:rPr>
                <w:rFonts w:cs="Times New Roman"/>
                <w:sz w:val="20"/>
                <w:szCs w:val="20"/>
                <w:lang w:val="en-GB"/>
              </w:rPr>
            </w:pPr>
            <w:r w:rsidRPr="00690881">
              <w:rPr>
                <w:rFonts w:cs="Times New Roman"/>
                <w:sz w:val="20"/>
                <w:szCs w:val="20"/>
              </w:rPr>
              <w:t>Low Elevation Discount (1–2m)</w:t>
            </w:r>
          </w:p>
        </w:tc>
        <w:tc>
          <w:tcPr>
            <w:tcW w:w="3005" w:type="dxa"/>
          </w:tcPr>
          <w:p w14:paraId="24FC90B9" w14:textId="08B8A1F6" w:rsidR="00021265" w:rsidRDefault="00E235EE" w:rsidP="00690881">
            <w:pPr>
              <w:spacing w:line="276" w:lineRule="auto"/>
              <w:jc w:val="center"/>
              <w:rPr>
                <w:rFonts w:cs="Times New Roman"/>
                <w:sz w:val="24"/>
                <w:szCs w:val="24"/>
                <w:lang w:val="en-GB"/>
              </w:rPr>
            </w:pPr>
            <w:r>
              <w:rPr>
                <w:rFonts w:cs="Times New Roman"/>
                <w:sz w:val="24"/>
                <w:szCs w:val="24"/>
                <w:lang w:val="en-GB"/>
              </w:rPr>
              <w:t>-4.2</w:t>
            </w:r>
          </w:p>
        </w:tc>
        <w:tc>
          <w:tcPr>
            <w:tcW w:w="3006" w:type="dxa"/>
          </w:tcPr>
          <w:p w14:paraId="0848E24D" w14:textId="3D991CC6" w:rsidR="00021265" w:rsidRPr="00690881" w:rsidRDefault="00E235EE" w:rsidP="00834DC6">
            <w:pPr>
              <w:spacing w:line="276" w:lineRule="auto"/>
              <w:jc w:val="both"/>
              <w:rPr>
                <w:rFonts w:cs="Times New Roman"/>
                <w:sz w:val="20"/>
                <w:szCs w:val="20"/>
                <w:lang w:val="en-GB"/>
              </w:rPr>
            </w:pPr>
            <w:r w:rsidRPr="00690881">
              <w:rPr>
                <w:rFonts w:cs="Times New Roman"/>
                <w:sz w:val="20"/>
                <w:szCs w:val="20"/>
              </w:rPr>
              <w:t>Nonlinear capitalization of extreme physical exposure</w:t>
            </w:r>
          </w:p>
        </w:tc>
      </w:tr>
      <w:tr w:rsidR="00021265" w14:paraId="0805A3D1" w14:textId="77777777" w:rsidTr="00690881">
        <w:tc>
          <w:tcPr>
            <w:tcW w:w="3005" w:type="dxa"/>
          </w:tcPr>
          <w:p w14:paraId="79E28A63" w14:textId="7F97938B" w:rsidR="00021265" w:rsidRPr="00690881" w:rsidRDefault="00E2422A" w:rsidP="00834DC6">
            <w:pPr>
              <w:spacing w:line="276" w:lineRule="auto"/>
              <w:jc w:val="both"/>
              <w:rPr>
                <w:rFonts w:cs="Times New Roman"/>
                <w:sz w:val="20"/>
                <w:szCs w:val="20"/>
                <w:lang w:val="en-GB"/>
              </w:rPr>
            </w:pPr>
            <w:r w:rsidRPr="00690881">
              <w:rPr>
                <w:rFonts w:cs="Times New Roman"/>
                <w:sz w:val="20"/>
                <w:szCs w:val="20"/>
              </w:rPr>
              <w:t>Peak Elevation Premium (~3.5m)</w:t>
            </w:r>
          </w:p>
        </w:tc>
        <w:tc>
          <w:tcPr>
            <w:tcW w:w="3005" w:type="dxa"/>
          </w:tcPr>
          <w:p w14:paraId="02E3E8E3" w14:textId="05C14AF8" w:rsidR="00021265" w:rsidRDefault="00E2422A" w:rsidP="00690881">
            <w:pPr>
              <w:spacing w:line="276" w:lineRule="auto"/>
              <w:jc w:val="center"/>
              <w:rPr>
                <w:rFonts w:cs="Times New Roman"/>
                <w:sz w:val="24"/>
                <w:szCs w:val="24"/>
                <w:lang w:val="en-GB"/>
              </w:rPr>
            </w:pPr>
            <w:r>
              <w:rPr>
                <w:rFonts w:cs="Times New Roman"/>
                <w:sz w:val="24"/>
                <w:szCs w:val="24"/>
                <w:lang w:val="en-GB"/>
              </w:rPr>
              <w:t>+2.5</w:t>
            </w:r>
          </w:p>
        </w:tc>
        <w:tc>
          <w:tcPr>
            <w:tcW w:w="3006" w:type="dxa"/>
          </w:tcPr>
          <w:p w14:paraId="7C69F5BF" w14:textId="178F42CD" w:rsidR="00021265" w:rsidRPr="00690881" w:rsidRDefault="00E2422A" w:rsidP="00834DC6">
            <w:pPr>
              <w:spacing w:line="276" w:lineRule="auto"/>
              <w:jc w:val="both"/>
              <w:rPr>
                <w:rFonts w:cs="Times New Roman"/>
                <w:sz w:val="20"/>
                <w:szCs w:val="20"/>
                <w:lang w:val="en-GB"/>
              </w:rPr>
            </w:pPr>
            <w:r w:rsidRPr="00690881">
              <w:rPr>
                <w:rFonts w:cs="Times New Roman"/>
                <w:sz w:val="20"/>
                <w:szCs w:val="20"/>
              </w:rPr>
              <w:t>Peak Elevation Premium (~3.5m)</w:t>
            </w:r>
          </w:p>
        </w:tc>
      </w:tr>
      <w:tr w:rsidR="00021265" w14:paraId="0BBDD64C" w14:textId="77777777" w:rsidTr="00690881">
        <w:tc>
          <w:tcPr>
            <w:tcW w:w="3005" w:type="dxa"/>
          </w:tcPr>
          <w:p w14:paraId="5B6A440B" w14:textId="28E094D6" w:rsidR="00021265" w:rsidRPr="00690881" w:rsidRDefault="004654C4" w:rsidP="00834DC6">
            <w:pPr>
              <w:spacing w:line="276" w:lineRule="auto"/>
              <w:jc w:val="both"/>
              <w:rPr>
                <w:rFonts w:cs="Times New Roman"/>
                <w:sz w:val="20"/>
                <w:szCs w:val="20"/>
                <w:lang w:val="en-GB"/>
              </w:rPr>
            </w:pPr>
            <w:r w:rsidRPr="00690881">
              <w:rPr>
                <w:rFonts w:cs="Times New Roman"/>
                <w:sz w:val="20"/>
                <w:szCs w:val="20"/>
              </w:rPr>
              <w:t>Maximum Projected Loss (RCP 8.5)</w:t>
            </w:r>
          </w:p>
        </w:tc>
        <w:tc>
          <w:tcPr>
            <w:tcW w:w="3005" w:type="dxa"/>
          </w:tcPr>
          <w:p w14:paraId="16C13FE7" w14:textId="7C7A83B9" w:rsidR="00021265" w:rsidRDefault="004654C4" w:rsidP="00690881">
            <w:pPr>
              <w:spacing w:line="276" w:lineRule="auto"/>
              <w:jc w:val="center"/>
              <w:rPr>
                <w:rFonts w:cs="Times New Roman"/>
                <w:sz w:val="24"/>
                <w:szCs w:val="24"/>
                <w:lang w:val="en-GB"/>
              </w:rPr>
            </w:pPr>
            <w:r>
              <w:rPr>
                <w:rFonts w:cs="Times New Roman"/>
                <w:sz w:val="24"/>
                <w:szCs w:val="24"/>
                <w:lang w:val="en-GB"/>
              </w:rPr>
              <w:t>-14.7</w:t>
            </w:r>
          </w:p>
        </w:tc>
        <w:tc>
          <w:tcPr>
            <w:tcW w:w="3006" w:type="dxa"/>
          </w:tcPr>
          <w:p w14:paraId="0EBD3599" w14:textId="7FFF8644" w:rsidR="00021265" w:rsidRPr="00690881" w:rsidRDefault="004654C4" w:rsidP="00834DC6">
            <w:pPr>
              <w:spacing w:line="276" w:lineRule="auto"/>
              <w:jc w:val="both"/>
              <w:rPr>
                <w:rFonts w:cs="Times New Roman"/>
                <w:sz w:val="20"/>
                <w:szCs w:val="20"/>
                <w:lang w:val="en-GB"/>
              </w:rPr>
            </w:pPr>
            <w:r w:rsidRPr="00690881">
              <w:rPr>
                <w:rFonts w:cs="Times New Roman"/>
                <w:sz w:val="20"/>
                <w:szCs w:val="20"/>
              </w:rPr>
              <w:t>Stress-test valuation under severe climate intensification</w:t>
            </w:r>
          </w:p>
        </w:tc>
      </w:tr>
      <w:tr w:rsidR="00021265" w14:paraId="3D09D103" w14:textId="77777777" w:rsidTr="00690881">
        <w:tc>
          <w:tcPr>
            <w:tcW w:w="3005" w:type="dxa"/>
            <w:tcBorders>
              <w:bottom w:val="single" w:sz="4" w:space="0" w:color="auto"/>
            </w:tcBorders>
          </w:tcPr>
          <w:p w14:paraId="0CD2DF6E" w14:textId="23D52003" w:rsidR="00021265" w:rsidRPr="00690881" w:rsidRDefault="0048000E" w:rsidP="0048000E">
            <w:pPr>
              <w:spacing w:line="276" w:lineRule="auto"/>
              <w:rPr>
                <w:rFonts w:cs="Times New Roman"/>
                <w:sz w:val="20"/>
                <w:szCs w:val="20"/>
                <w:lang w:val="en-GB"/>
              </w:rPr>
            </w:pPr>
            <w:r w:rsidRPr="00690881">
              <w:rPr>
                <w:rFonts w:cs="Times New Roman"/>
                <w:sz w:val="20"/>
                <w:szCs w:val="20"/>
              </w:rPr>
              <w:t>Stress Amplification Ratio</w:t>
            </w:r>
          </w:p>
        </w:tc>
        <w:tc>
          <w:tcPr>
            <w:tcW w:w="3005" w:type="dxa"/>
            <w:tcBorders>
              <w:bottom w:val="single" w:sz="4" w:space="0" w:color="auto"/>
            </w:tcBorders>
          </w:tcPr>
          <w:p w14:paraId="10D22CD2" w14:textId="484674CF" w:rsidR="00021265" w:rsidRDefault="0048000E" w:rsidP="00690881">
            <w:pPr>
              <w:spacing w:line="276" w:lineRule="auto"/>
              <w:jc w:val="center"/>
              <w:rPr>
                <w:rFonts w:cs="Times New Roman"/>
                <w:sz w:val="24"/>
                <w:szCs w:val="24"/>
                <w:lang w:val="en-GB"/>
              </w:rPr>
            </w:pPr>
            <w:r>
              <w:rPr>
                <w:rFonts w:cs="Times New Roman"/>
                <w:sz w:val="24"/>
                <w:szCs w:val="24"/>
                <w:lang w:val="en-GB"/>
              </w:rPr>
              <w:t>23.3x</w:t>
            </w:r>
          </w:p>
        </w:tc>
        <w:tc>
          <w:tcPr>
            <w:tcW w:w="3006" w:type="dxa"/>
            <w:tcBorders>
              <w:bottom w:val="single" w:sz="4" w:space="0" w:color="auto"/>
            </w:tcBorders>
          </w:tcPr>
          <w:p w14:paraId="6A0E2E0E" w14:textId="600A1124" w:rsidR="00021265" w:rsidRPr="00690881" w:rsidRDefault="0048000E" w:rsidP="00834DC6">
            <w:pPr>
              <w:spacing w:line="276" w:lineRule="auto"/>
              <w:jc w:val="both"/>
              <w:rPr>
                <w:rFonts w:cs="Times New Roman"/>
                <w:sz w:val="20"/>
                <w:szCs w:val="20"/>
                <w:lang w:val="en-GB"/>
              </w:rPr>
            </w:pPr>
            <w:r w:rsidRPr="00690881">
              <w:rPr>
                <w:rFonts w:cs="Times New Roman"/>
                <w:sz w:val="20"/>
                <w:szCs w:val="20"/>
              </w:rPr>
              <w:t>Projected loss relative to current observed pricing</w:t>
            </w:r>
          </w:p>
        </w:tc>
      </w:tr>
    </w:tbl>
    <w:p w14:paraId="620A893A" w14:textId="77777777" w:rsidR="00021265" w:rsidRDefault="00021265" w:rsidP="00834DC6">
      <w:pPr>
        <w:spacing w:line="276" w:lineRule="auto"/>
        <w:jc w:val="both"/>
        <w:rPr>
          <w:rFonts w:cs="Times New Roman"/>
          <w:sz w:val="24"/>
          <w:szCs w:val="24"/>
          <w:lang w:val="en-GB"/>
        </w:rPr>
      </w:pPr>
    </w:p>
    <w:p w14:paraId="1F509EE2" w14:textId="41B9A54C" w:rsidR="00C22656" w:rsidRDefault="00C22656" w:rsidP="00834DC6">
      <w:pPr>
        <w:spacing w:line="276" w:lineRule="auto"/>
        <w:jc w:val="both"/>
        <w:rPr>
          <w:rFonts w:cs="Times New Roman"/>
          <w:sz w:val="24"/>
          <w:szCs w:val="24"/>
          <w:lang w:val="en-GB"/>
        </w:rPr>
      </w:pPr>
      <w:r>
        <w:rPr>
          <w:rFonts w:cs="Times New Roman"/>
          <w:sz w:val="24"/>
          <w:szCs w:val="24"/>
          <w:lang w:val="en-GB"/>
        </w:rPr>
        <w:lastRenderedPageBreak/>
        <w:t>T</w:t>
      </w:r>
      <w:r w:rsidRPr="00C22656">
        <w:rPr>
          <w:rFonts w:cs="Times New Roman"/>
          <w:sz w:val="24"/>
          <w:szCs w:val="24"/>
        </w:rPr>
        <w:t xml:space="preserve">able </w:t>
      </w:r>
      <w:r>
        <w:rPr>
          <w:rFonts w:cs="Times New Roman"/>
          <w:sz w:val="24"/>
          <w:szCs w:val="24"/>
          <w:lang w:val="en-GB"/>
        </w:rPr>
        <w:t>2</w:t>
      </w:r>
      <w:r w:rsidRPr="00C22656">
        <w:rPr>
          <w:rFonts w:cs="Times New Roman"/>
          <w:sz w:val="24"/>
          <w:szCs w:val="24"/>
        </w:rPr>
        <w:t xml:space="preserve"> contrasts observed market capitalization of flood exposure with nonlinear physical risk effects and projected stress losses under severe climate scenarios. The estimates reveal a pronounced divergence between current pricing signals and extreme climate risk projections.</w:t>
      </w:r>
    </w:p>
    <w:p w14:paraId="63CD57DF" w14:textId="77777777" w:rsidR="00BB7FCE" w:rsidRPr="00BB7FCE" w:rsidRDefault="00BB7FCE" w:rsidP="00BB7FCE">
      <w:pPr>
        <w:spacing w:line="276" w:lineRule="auto"/>
        <w:jc w:val="both"/>
        <w:rPr>
          <w:rFonts w:cs="Times New Roman"/>
          <w:b/>
          <w:bCs/>
          <w:sz w:val="24"/>
          <w:szCs w:val="24"/>
          <w:lang w:val="en-GB"/>
        </w:rPr>
      </w:pPr>
      <w:r w:rsidRPr="00BB7FCE">
        <w:rPr>
          <w:rFonts w:cs="Times New Roman"/>
          <w:b/>
          <w:bCs/>
          <w:sz w:val="24"/>
          <w:szCs w:val="24"/>
          <w:lang w:val="en-GB"/>
        </w:rPr>
        <w:t>1. Observed High-Risk Zone Discount (SHAP-based): –0.63%</w:t>
      </w:r>
    </w:p>
    <w:p w14:paraId="57B0EADD" w14:textId="77777777" w:rsidR="00BB7FCE" w:rsidRPr="00BB7FCE" w:rsidRDefault="00BB7FCE" w:rsidP="00BB7FCE">
      <w:pPr>
        <w:spacing w:line="276" w:lineRule="auto"/>
        <w:jc w:val="both"/>
        <w:rPr>
          <w:rFonts w:cs="Times New Roman"/>
          <w:sz w:val="24"/>
          <w:szCs w:val="24"/>
          <w:lang w:val="en-GB"/>
        </w:rPr>
      </w:pPr>
      <w:r w:rsidRPr="00BB7FCE">
        <w:rPr>
          <w:rFonts w:cs="Times New Roman"/>
          <w:sz w:val="24"/>
          <w:szCs w:val="24"/>
          <w:lang w:val="en-GB"/>
        </w:rPr>
        <w:t xml:space="preserve">This estimate reflects the average marginal contribution of the </w:t>
      </w:r>
      <w:proofErr w:type="spellStart"/>
      <w:r w:rsidRPr="00BB7FCE">
        <w:rPr>
          <w:rFonts w:cs="Times New Roman"/>
          <w:sz w:val="24"/>
          <w:szCs w:val="24"/>
          <w:lang w:val="en-GB"/>
        </w:rPr>
        <w:t>HighRiskZone</w:t>
      </w:r>
      <w:proofErr w:type="spellEnd"/>
      <w:r w:rsidRPr="00BB7FCE">
        <w:rPr>
          <w:rFonts w:cs="Times New Roman"/>
          <w:sz w:val="24"/>
          <w:szCs w:val="24"/>
          <w:lang w:val="en-GB"/>
        </w:rPr>
        <w:t xml:space="preserve"> indicator to predicted log property prices, converted into percentage terms using:</w:t>
      </w:r>
    </w:p>
    <w:p w14:paraId="6A5FCEE3" w14:textId="77777777" w:rsidR="00BB7FCE" w:rsidRDefault="00BB7FCE" w:rsidP="00834DC6">
      <w:pPr>
        <w:spacing w:line="276" w:lineRule="auto"/>
        <w:jc w:val="both"/>
        <w:rPr>
          <w:rFonts w:cs="Times New Roman"/>
          <w:sz w:val="24"/>
          <w:szCs w:val="24"/>
          <w:lang w:val="en-GB"/>
        </w:rPr>
      </w:pPr>
    </w:p>
    <w:p w14:paraId="70AC33EE" w14:textId="6DBF5B8D" w:rsidR="003233B4" w:rsidRPr="00852615" w:rsidRDefault="003233B4" w:rsidP="00834DC6">
      <w:pPr>
        <w:spacing w:line="276" w:lineRule="auto"/>
        <w:jc w:val="both"/>
        <w:rPr>
          <w:rFonts w:eastAsiaTheme="minorEastAsia" w:cs="Times New Roman"/>
          <w:sz w:val="24"/>
          <w:szCs w:val="24"/>
          <w:lang w:val="en-GB"/>
        </w:rPr>
      </w:pPr>
      <m:oMathPara>
        <m:oMath>
          <m:r>
            <w:rPr>
              <w:rFonts w:ascii="Cambria Math" w:hAnsi="Cambria Math" w:cs="Times New Roman"/>
              <w:sz w:val="24"/>
              <w:szCs w:val="24"/>
              <w:lang w:val="en-GB"/>
            </w:rPr>
            <m:t xml:space="preserve">Observed HighRisk Discount= </m:t>
          </m:r>
          <m:d>
            <m:dPr>
              <m:ctrlPr>
                <w:rPr>
                  <w:rFonts w:ascii="Cambria Math" w:hAnsi="Cambria Math" w:cs="Times New Roman"/>
                  <w:i/>
                  <w:sz w:val="24"/>
                  <w:szCs w:val="24"/>
                  <w:lang w:val="en-GB"/>
                </w:rPr>
              </m:ctrlPr>
            </m:dPr>
            <m:e>
              <m:sSup>
                <m:sSupPr>
                  <m:ctrlPr>
                    <w:rPr>
                      <w:rFonts w:ascii="Cambria Math" w:hAnsi="Cambria Math" w:cs="Times New Roman"/>
                      <w:i/>
                      <w:sz w:val="24"/>
                      <w:szCs w:val="24"/>
                      <w:lang w:val="en-GB"/>
                    </w:rPr>
                  </m:ctrlPr>
                </m:sSupPr>
                <m:e>
                  <m:r>
                    <w:rPr>
                      <w:rFonts w:ascii="Cambria Math" w:hAnsi="Cambria Math" w:cs="Times New Roman"/>
                      <w:sz w:val="24"/>
                      <w:szCs w:val="24"/>
                      <w:lang w:val="en-GB"/>
                    </w:rPr>
                    <m:t>e</m:t>
                  </m:r>
                </m:e>
                <m:sup>
                  <m:acc>
                    <m:accPr>
                      <m:chr m:val="⃑"/>
                      <m:ctrlPr>
                        <w:rPr>
                          <w:rFonts w:ascii="Cambria Math" w:hAnsi="Cambria Math" w:cs="Times New Roman"/>
                          <w:i/>
                          <w:sz w:val="24"/>
                          <w:szCs w:val="24"/>
                          <w:lang w:val="en-GB"/>
                        </w:rPr>
                      </m:ctrlPr>
                    </m:accPr>
                    <m:e>
                      <m:r>
                        <w:rPr>
                          <w:rFonts w:ascii="Cambria Math" w:hAnsi="Cambria Math" w:cs="Times New Roman"/>
                          <w:sz w:val="24"/>
                          <w:szCs w:val="24"/>
                          <w:lang w:val="en-GB"/>
                        </w:rPr>
                        <m:t>∅HighRisk</m:t>
                      </m:r>
                    </m:e>
                  </m:acc>
                </m:sup>
              </m:sSup>
              <m:r>
                <w:rPr>
                  <w:rFonts w:ascii="Cambria Math" w:hAnsi="Cambria Math" w:cs="Times New Roman"/>
                  <w:sz w:val="24"/>
                  <w:szCs w:val="24"/>
                  <w:lang w:val="en-GB"/>
                </w:rPr>
                <m:t>-1</m:t>
              </m:r>
            </m:e>
          </m:d>
          <m:r>
            <w:rPr>
              <w:rFonts w:ascii="Cambria Math" w:hAnsi="Cambria Math" w:cs="Times New Roman"/>
              <w:sz w:val="24"/>
              <w:szCs w:val="24"/>
              <w:lang w:val="en-GB"/>
            </w:rPr>
            <m:t xml:space="preserve"> ×100</m:t>
          </m:r>
        </m:oMath>
      </m:oMathPara>
    </w:p>
    <w:p w14:paraId="35C681CE" w14:textId="61DE7602" w:rsidR="00852615" w:rsidRDefault="00852615" w:rsidP="00834DC6">
      <w:pPr>
        <w:spacing w:line="276" w:lineRule="auto"/>
        <w:jc w:val="both"/>
        <w:rPr>
          <w:rFonts w:eastAsiaTheme="minorEastAsia" w:cs="Times New Roman"/>
          <w:sz w:val="24"/>
          <w:szCs w:val="24"/>
          <w:lang w:val="en-GB"/>
        </w:rPr>
      </w:pPr>
      <w:r>
        <w:rPr>
          <w:rFonts w:eastAsiaTheme="minorEastAsia" w:cs="Times New Roman"/>
          <w:sz w:val="24"/>
          <w:szCs w:val="24"/>
          <w:lang w:val="en-GB"/>
        </w:rPr>
        <w:t>Where:</w:t>
      </w:r>
    </w:p>
    <w:p w14:paraId="0397DD5C" w14:textId="5A81A8FC" w:rsidR="00852615" w:rsidRPr="0014644A" w:rsidRDefault="00B111E3" w:rsidP="00852615">
      <w:pPr>
        <w:pStyle w:val="ListParagraph"/>
        <w:numPr>
          <w:ilvl w:val="0"/>
          <w:numId w:val="5"/>
        </w:numPr>
        <w:spacing w:line="276" w:lineRule="auto"/>
        <w:jc w:val="both"/>
        <w:rPr>
          <w:rFonts w:cs="Times New Roman"/>
          <w:sz w:val="24"/>
          <w:szCs w:val="24"/>
          <w:lang w:val="en-GB"/>
        </w:rPr>
      </w:pPr>
      <m:oMath>
        <m:r>
          <w:rPr>
            <w:rFonts w:ascii="Cambria Math" w:hAnsi="Cambria Math" w:cs="Times New Roman"/>
            <w:sz w:val="24"/>
            <w:szCs w:val="24"/>
            <w:lang w:val="en-GB"/>
          </w:rPr>
          <m:t>∅HighRisk</m:t>
        </m:r>
      </m:oMath>
      <w:r>
        <w:rPr>
          <w:rFonts w:eastAsiaTheme="minorEastAsia" w:cs="Times New Roman"/>
          <w:sz w:val="24"/>
          <w:szCs w:val="24"/>
          <w:lang w:val="en-GB"/>
        </w:rPr>
        <w:t xml:space="preserve"> </w:t>
      </w:r>
      <w:r w:rsidR="0014644A">
        <w:rPr>
          <w:rFonts w:eastAsiaTheme="minorEastAsia" w:cs="Times New Roman"/>
          <w:sz w:val="24"/>
          <w:szCs w:val="24"/>
          <w:lang w:val="en-GB"/>
        </w:rPr>
        <w:t xml:space="preserve">denotes the SHAP contribution of the </w:t>
      </w:r>
      <w:proofErr w:type="spellStart"/>
      <w:r w:rsidR="0014644A">
        <w:rPr>
          <w:rFonts w:eastAsiaTheme="minorEastAsia" w:cs="Times New Roman"/>
          <w:sz w:val="24"/>
          <w:szCs w:val="24"/>
          <w:lang w:val="en-GB"/>
        </w:rPr>
        <w:t>HighRiskZone</w:t>
      </w:r>
      <w:proofErr w:type="spellEnd"/>
      <w:r w:rsidR="0014644A">
        <w:rPr>
          <w:rFonts w:eastAsiaTheme="minorEastAsia" w:cs="Times New Roman"/>
          <w:sz w:val="24"/>
          <w:szCs w:val="24"/>
          <w:lang w:val="en-GB"/>
        </w:rPr>
        <w:t xml:space="preserve"> indicator</w:t>
      </w:r>
    </w:p>
    <w:p w14:paraId="21AA0CBE" w14:textId="52D97163" w:rsidR="0014644A" w:rsidRDefault="00FC1DB4" w:rsidP="00852615">
      <w:pPr>
        <w:pStyle w:val="ListParagraph"/>
        <w:numPr>
          <w:ilvl w:val="0"/>
          <w:numId w:val="5"/>
        </w:numPr>
        <w:spacing w:line="276" w:lineRule="auto"/>
        <w:jc w:val="both"/>
        <w:rPr>
          <w:rFonts w:cs="Times New Roman"/>
          <w:sz w:val="24"/>
          <w:szCs w:val="24"/>
          <w:lang w:val="en-GB"/>
        </w:rPr>
      </w:pPr>
      <w:r w:rsidRPr="00FC1DB4">
        <w:rPr>
          <w:rFonts w:cs="Times New Roman"/>
          <w:sz w:val="24"/>
          <w:szCs w:val="24"/>
        </w:rPr>
        <w:t>The bar denotes the mean across properties in high-risk zones.</w:t>
      </w:r>
    </w:p>
    <w:p w14:paraId="78E2CFE4" w14:textId="3AD5E724" w:rsidR="006A2D5E" w:rsidRDefault="006A2D5E" w:rsidP="00852615">
      <w:pPr>
        <w:pStyle w:val="ListParagraph"/>
        <w:numPr>
          <w:ilvl w:val="0"/>
          <w:numId w:val="5"/>
        </w:numPr>
        <w:spacing w:line="276" w:lineRule="auto"/>
        <w:jc w:val="both"/>
        <w:rPr>
          <w:rFonts w:cs="Times New Roman"/>
          <w:sz w:val="24"/>
          <w:szCs w:val="24"/>
          <w:lang w:val="en-GB"/>
        </w:rPr>
      </w:pPr>
      <w:r w:rsidRPr="006A2D5E">
        <w:rPr>
          <w:rFonts w:cs="Times New Roman"/>
          <w:sz w:val="24"/>
          <w:szCs w:val="24"/>
        </w:rPr>
        <w:t>The mean SHAP contribution of the HighRiskZone indicator is converted from log-price units to percentage price impact using the exponential transformation.</w:t>
      </w:r>
    </w:p>
    <w:p w14:paraId="16EB0011" w14:textId="2B3C6098" w:rsidR="001037E4" w:rsidRDefault="001037E4" w:rsidP="001037E4">
      <w:pPr>
        <w:spacing w:line="276" w:lineRule="auto"/>
        <w:jc w:val="both"/>
        <w:rPr>
          <w:rFonts w:cs="Times New Roman"/>
          <w:sz w:val="24"/>
          <w:szCs w:val="24"/>
          <w:lang w:val="en-GB"/>
        </w:rPr>
      </w:pPr>
      <w:r w:rsidRPr="001037E4">
        <w:rPr>
          <w:rFonts w:cs="Times New Roman"/>
          <w:sz w:val="24"/>
          <w:szCs w:val="24"/>
        </w:rPr>
        <w:t>The magnitude of –0.63% suggests that properties located within high flood-risk zones experience a modest valuation discount relative to otherwise comparable properties.</w:t>
      </w:r>
    </w:p>
    <w:p w14:paraId="740ECB55" w14:textId="3AC4B947" w:rsidR="001037E4" w:rsidRDefault="00E163B3" w:rsidP="001037E4">
      <w:pPr>
        <w:pStyle w:val="ListParagraph"/>
        <w:numPr>
          <w:ilvl w:val="0"/>
          <w:numId w:val="5"/>
        </w:numPr>
        <w:spacing w:line="276" w:lineRule="auto"/>
        <w:jc w:val="both"/>
        <w:rPr>
          <w:rFonts w:cs="Times New Roman"/>
          <w:sz w:val="24"/>
          <w:szCs w:val="24"/>
          <w:lang w:val="en-GB"/>
        </w:rPr>
      </w:pPr>
      <w:r w:rsidRPr="00E163B3">
        <w:rPr>
          <w:rFonts w:cs="Times New Roman"/>
          <w:sz w:val="24"/>
          <w:szCs w:val="24"/>
        </w:rPr>
        <w:t>The market appears to internalize flood exposure.</w:t>
      </w:r>
    </w:p>
    <w:p w14:paraId="5021E301" w14:textId="4FD87B69" w:rsidR="00E163B3" w:rsidRDefault="00E163B3" w:rsidP="001037E4">
      <w:pPr>
        <w:pStyle w:val="ListParagraph"/>
        <w:numPr>
          <w:ilvl w:val="0"/>
          <w:numId w:val="5"/>
        </w:numPr>
        <w:spacing w:line="276" w:lineRule="auto"/>
        <w:jc w:val="both"/>
        <w:rPr>
          <w:rFonts w:cs="Times New Roman"/>
          <w:sz w:val="24"/>
          <w:szCs w:val="24"/>
          <w:lang w:val="en-GB"/>
        </w:rPr>
      </w:pPr>
      <w:r w:rsidRPr="00E163B3">
        <w:rPr>
          <w:rFonts w:cs="Times New Roman"/>
          <w:sz w:val="24"/>
          <w:szCs w:val="24"/>
        </w:rPr>
        <w:t>However, the economic magnitude is small.</w:t>
      </w:r>
    </w:p>
    <w:p w14:paraId="3A38D8C3" w14:textId="12BC8482" w:rsidR="00E163B3" w:rsidRDefault="00E163B3" w:rsidP="001037E4">
      <w:pPr>
        <w:pStyle w:val="ListParagraph"/>
        <w:numPr>
          <w:ilvl w:val="0"/>
          <w:numId w:val="5"/>
        </w:numPr>
        <w:spacing w:line="276" w:lineRule="auto"/>
        <w:jc w:val="both"/>
        <w:rPr>
          <w:rFonts w:cs="Times New Roman"/>
          <w:sz w:val="24"/>
          <w:szCs w:val="24"/>
          <w:lang w:val="en-GB"/>
        </w:rPr>
      </w:pPr>
      <w:r w:rsidRPr="00E163B3">
        <w:rPr>
          <w:rFonts w:cs="Times New Roman"/>
          <w:sz w:val="24"/>
          <w:szCs w:val="24"/>
        </w:rPr>
        <w:t>This indicates partial but limited capitalization of regulatory flood classification.</w:t>
      </w:r>
    </w:p>
    <w:p w14:paraId="4ECE910E" w14:textId="52C84FD3" w:rsidR="00E163B3" w:rsidRDefault="00E163B3" w:rsidP="00E163B3">
      <w:pPr>
        <w:spacing w:line="276" w:lineRule="auto"/>
        <w:jc w:val="both"/>
        <w:rPr>
          <w:rFonts w:cs="Times New Roman"/>
          <w:sz w:val="24"/>
          <w:szCs w:val="24"/>
          <w:lang w:val="en-GB"/>
        </w:rPr>
      </w:pPr>
      <w:r w:rsidRPr="00E163B3">
        <w:rPr>
          <w:rFonts w:cs="Times New Roman"/>
          <w:sz w:val="24"/>
          <w:szCs w:val="24"/>
        </w:rPr>
        <w:t xml:space="preserve">In monetary terms, for a £500,000 property, this implies an average discount of approximately £3,150 </w:t>
      </w:r>
      <w:r>
        <w:rPr>
          <w:rFonts w:cs="Times New Roman"/>
          <w:sz w:val="24"/>
          <w:szCs w:val="24"/>
          <w:lang w:val="en-GB"/>
        </w:rPr>
        <w:t>-</w:t>
      </w:r>
      <w:r w:rsidRPr="00E163B3">
        <w:rPr>
          <w:rFonts w:cs="Times New Roman"/>
          <w:sz w:val="24"/>
          <w:szCs w:val="24"/>
        </w:rPr>
        <w:t xml:space="preserve"> economically noticeable but not substan</w:t>
      </w:r>
      <w:proofErr w:type="spellStart"/>
      <w:r w:rsidR="00BA61FA">
        <w:rPr>
          <w:rFonts w:cs="Times New Roman"/>
          <w:sz w:val="24"/>
          <w:szCs w:val="24"/>
          <w:lang w:val="en-GB"/>
        </w:rPr>
        <w:t>tial</w:t>
      </w:r>
      <w:proofErr w:type="spellEnd"/>
      <w:r w:rsidR="00BA61FA">
        <w:rPr>
          <w:rFonts w:cs="Times New Roman"/>
          <w:sz w:val="24"/>
          <w:szCs w:val="24"/>
          <w:lang w:val="en-GB"/>
        </w:rPr>
        <w:t>.</w:t>
      </w:r>
    </w:p>
    <w:p w14:paraId="67234D45" w14:textId="77777777" w:rsidR="00BA61FA" w:rsidRDefault="00BA61FA" w:rsidP="00E163B3">
      <w:pPr>
        <w:spacing w:line="276" w:lineRule="auto"/>
        <w:jc w:val="both"/>
        <w:rPr>
          <w:rFonts w:cs="Times New Roman"/>
          <w:sz w:val="24"/>
          <w:szCs w:val="24"/>
          <w:lang w:val="en-GB"/>
        </w:rPr>
      </w:pPr>
    </w:p>
    <w:p w14:paraId="4738CFE3" w14:textId="77777777" w:rsidR="00BA61FA" w:rsidRPr="00BA61FA" w:rsidRDefault="00BA61FA" w:rsidP="00BA61FA">
      <w:pPr>
        <w:spacing w:line="276" w:lineRule="auto"/>
        <w:jc w:val="both"/>
        <w:rPr>
          <w:rFonts w:cs="Times New Roman"/>
          <w:b/>
          <w:bCs/>
          <w:sz w:val="24"/>
          <w:szCs w:val="24"/>
          <w:lang w:val="en-GB"/>
        </w:rPr>
      </w:pPr>
      <w:r w:rsidRPr="00BA61FA">
        <w:rPr>
          <w:rFonts w:cs="Times New Roman"/>
          <w:b/>
          <w:bCs/>
          <w:sz w:val="24"/>
          <w:szCs w:val="24"/>
          <w:lang w:val="en-GB"/>
        </w:rPr>
        <w:t>2. Low Elevation Discount (1–2m): –4.2%</w:t>
      </w:r>
    </w:p>
    <w:p w14:paraId="698C0EC1" w14:textId="77777777" w:rsidR="00BA61FA" w:rsidRPr="00BA61FA" w:rsidRDefault="00BA61FA" w:rsidP="00BA61FA">
      <w:pPr>
        <w:spacing w:line="276" w:lineRule="auto"/>
        <w:jc w:val="both"/>
        <w:rPr>
          <w:rFonts w:cs="Times New Roman"/>
          <w:sz w:val="24"/>
          <w:szCs w:val="24"/>
          <w:lang w:val="en-GB"/>
        </w:rPr>
      </w:pPr>
      <w:r w:rsidRPr="00BA61FA">
        <w:rPr>
          <w:rFonts w:cs="Times New Roman"/>
          <w:sz w:val="24"/>
          <w:szCs w:val="24"/>
          <w:lang w:val="en-GB"/>
        </w:rPr>
        <w:t>The partial dependence results indicate that properties located at very low elevations (1–2 metres above sea level) experience an average predicted price discount of approximately –4.2%.</w:t>
      </w:r>
    </w:p>
    <w:p w14:paraId="65460D2B" w14:textId="5B813885" w:rsidR="00BA61FA" w:rsidRDefault="00BA61FA" w:rsidP="00BA61FA">
      <w:pPr>
        <w:pStyle w:val="ListParagraph"/>
        <w:numPr>
          <w:ilvl w:val="0"/>
          <w:numId w:val="5"/>
        </w:numPr>
        <w:spacing w:line="276" w:lineRule="auto"/>
        <w:jc w:val="both"/>
        <w:rPr>
          <w:rFonts w:cs="Times New Roman"/>
          <w:sz w:val="24"/>
          <w:szCs w:val="24"/>
          <w:lang w:val="en-GB"/>
        </w:rPr>
      </w:pPr>
      <w:r w:rsidRPr="00BA61FA">
        <w:rPr>
          <w:rFonts w:cs="Times New Roman"/>
          <w:sz w:val="24"/>
          <w:szCs w:val="24"/>
        </w:rPr>
        <w:t>This effect is nearly seven times larger than the binary high-risk zone discount</w:t>
      </w:r>
    </w:p>
    <w:p w14:paraId="76EE4A8F" w14:textId="77777777" w:rsidR="00CD581D" w:rsidRDefault="00BA61FA" w:rsidP="001037E4">
      <w:pPr>
        <w:pStyle w:val="ListParagraph"/>
        <w:numPr>
          <w:ilvl w:val="0"/>
          <w:numId w:val="5"/>
        </w:numPr>
        <w:spacing w:line="276" w:lineRule="auto"/>
        <w:jc w:val="both"/>
        <w:rPr>
          <w:rFonts w:cs="Times New Roman"/>
          <w:sz w:val="24"/>
          <w:szCs w:val="24"/>
          <w:lang w:val="en-GB"/>
        </w:rPr>
      </w:pPr>
      <w:r w:rsidRPr="00BA61FA">
        <w:rPr>
          <w:rFonts w:cs="Times New Roman"/>
          <w:sz w:val="24"/>
          <w:szCs w:val="24"/>
        </w:rPr>
        <w:t>Elevation captures a continuous physical exposure gradient.</w:t>
      </w:r>
    </w:p>
    <w:p w14:paraId="2A6B97C8" w14:textId="084FC2BC" w:rsidR="001037E4" w:rsidRDefault="00CD581D" w:rsidP="001037E4">
      <w:pPr>
        <w:pStyle w:val="ListParagraph"/>
        <w:numPr>
          <w:ilvl w:val="0"/>
          <w:numId w:val="5"/>
        </w:numPr>
        <w:spacing w:line="276" w:lineRule="auto"/>
        <w:jc w:val="both"/>
        <w:rPr>
          <w:rFonts w:cs="Times New Roman"/>
          <w:sz w:val="24"/>
          <w:szCs w:val="24"/>
          <w:lang w:val="en-GB"/>
        </w:rPr>
      </w:pPr>
      <w:r w:rsidRPr="00CD581D">
        <w:rPr>
          <w:rFonts w:cs="Times New Roman"/>
          <w:sz w:val="24"/>
          <w:szCs w:val="24"/>
        </w:rPr>
        <w:t>The market appears to penalize extreme physical vulnerability more strongly than administrative flood classifications.</w:t>
      </w:r>
    </w:p>
    <w:p w14:paraId="16243F9C" w14:textId="385C641F" w:rsidR="00CD581D" w:rsidRPr="00CD581D" w:rsidRDefault="00CD581D" w:rsidP="00CD581D">
      <w:pPr>
        <w:spacing w:line="276" w:lineRule="auto"/>
        <w:jc w:val="both"/>
        <w:rPr>
          <w:rFonts w:cs="Times New Roman"/>
          <w:sz w:val="24"/>
          <w:szCs w:val="24"/>
          <w:lang w:val="en-GB"/>
        </w:rPr>
      </w:pPr>
      <w:r w:rsidRPr="00CD581D">
        <w:rPr>
          <w:rFonts w:cs="Times New Roman"/>
          <w:sz w:val="24"/>
          <w:szCs w:val="24"/>
        </w:rPr>
        <w:t>This finding suggests that buyers respond more to physical geography than to regulatory labels.</w:t>
      </w:r>
    </w:p>
    <w:p w14:paraId="0167C5C2" w14:textId="77777777" w:rsidR="00CD581D" w:rsidRPr="00CD581D" w:rsidRDefault="00CD581D" w:rsidP="00CD581D">
      <w:pPr>
        <w:spacing w:line="276" w:lineRule="auto"/>
        <w:jc w:val="both"/>
        <w:rPr>
          <w:rFonts w:cs="Times New Roman"/>
          <w:b/>
          <w:bCs/>
          <w:sz w:val="24"/>
          <w:szCs w:val="24"/>
          <w:lang w:val="en-GB"/>
        </w:rPr>
      </w:pPr>
      <w:r w:rsidRPr="00CD581D">
        <w:rPr>
          <w:rFonts w:cs="Times New Roman"/>
          <w:b/>
          <w:bCs/>
          <w:sz w:val="24"/>
          <w:szCs w:val="24"/>
          <w:lang w:val="en-GB"/>
        </w:rPr>
        <w:t>3. Peak Elevation Premium (~3.5m): +2.5%</w:t>
      </w:r>
    </w:p>
    <w:p w14:paraId="051A65F1" w14:textId="77777777" w:rsidR="00CD581D" w:rsidRPr="00CD581D" w:rsidRDefault="00CD581D" w:rsidP="00CD581D">
      <w:pPr>
        <w:spacing w:line="276" w:lineRule="auto"/>
        <w:jc w:val="both"/>
        <w:rPr>
          <w:rFonts w:cs="Times New Roman"/>
          <w:sz w:val="24"/>
          <w:szCs w:val="24"/>
          <w:lang w:val="en-GB"/>
        </w:rPr>
      </w:pPr>
      <w:r w:rsidRPr="00CD581D">
        <w:rPr>
          <w:rFonts w:cs="Times New Roman"/>
          <w:sz w:val="24"/>
          <w:szCs w:val="24"/>
          <w:lang w:val="en-GB"/>
        </w:rPr>
        <w:t>The partial dependence plot reveals a nonlinear structure in which property values increase with elevation up to approximately 3.5 metres, generating a premium of roughly +2.5%.</w:t>
      </w:r>
    </w:p>
    <w:p w14:paraId="7C0CB71D" w14:textId="6550C6E1" w:rsidR="001037E4" w:rsidRDefault="005E1293" w:rsidP="005E1293">
      <w:pPr>
        <w:pStyle w:val="ListParagraph"/>
        <w:numPr>
          <w:ilvl w:val="0"/>
          <w:numId w:val="5"/>
        </w:numPr>
        <w:spacing w:line="276" w:lineRule="auto"/>
        <w:jc w:val="both"/>
        <w:rPr>
          <w:rFonts w:cs="Times New Roman"/>
          <w:sz w:val="24"/>
          <w:szCs w:val="24"/>
          <w:lang w:val="en-GB"/>
        </w:rPr>
      </w:pPr>
      <w:r w:rsidRPr="005E1293">
        <w:rPr>
          <w:rFonts w:cs="Times New Roman"/>
          <w:sz w:val="24"/>
          <w:szCs w:val="24"/>
        </w:rPr>
        <w:t>There exists an optimal elevation band where perceived safety is capitalized</w:t>
      </w:r>
    </w:p>
    <w:p w14:paraId="5C4C20DF" w14:textId="295DE9AE" w:rsidR="005E1293" w:rsidRDefault="005E1293" w:rsidP="005E1293">
      <w:pPr>
        <w:pStyle w:val="ListParagraph"/>
        <w:numPr>
          <w:ilvl w:val="0"/>
          <w:numId w:val="5"/>
        </w:numPr>
        <w:spacing w:line="276" w:lineRule="auto"/>
        <w:jc w:val="both"/>
        <w:rPr>
          <w:rFonts w:cs="Times New Roman"/>
          <w:sz w:val="24"/>
          <w:szCs w:val="24"/>
          <w:lang w:val="en-GB"/>
        </w:rPr>
      </w:pPr>
      <w:r w:rsidRPr="005E1293">
        <w:rPr>
          <w:rFonts w:cs="Times New Roman"/>
          <w:sz w:val="24"/>
          <w:szCs w:val="24"/>
        </w:rPr>
        <w:t>Beyond this threshold, premiums plateau or decline.</w:t>
      </w:r>
    </w:p>
    <w:p w14:paraId="05694F06" w14:textId="4CF388AD" w:rsidR="005E1293" w:rsidRDefault="005E1293" w:rsidP="005E1293">
      <w:pPr>
        <w:pStyle w:val="ListParagraph"/>
        <w:numPr>
          <w:ilvl w:val="0"/>
          <w:numId w:val="5"/>
        </w:numPr>
        <w:spacing w:line="276" w:lineRule="auto"/>
        <w:jc w:val="both"/>
        <w:rPr>
          <w:rFonts w:cs="Times New Roman"/>
          <w:sz w:val="24"/>
          <w:szCs w:val="24"/>
          <w:lang w:val="en-GB"/>
        </w:rPr>
      </w:pPr>
      <w:r w:rsidRPr="005E1293">
        <w:rPr>
          <w:rFonts w:cs="Times New Roman"/>
          <w:sz w:val="24"/>
          <w:szCs w:val="24"/>
        </w:rPr>
        <w:lastRenderedPageBreak/>
        <w:t>This reflects nonlinear hedonic valuation rather than a monotonic relationship.</w:t>
      </w:r>
    </w:p>
    <w:p w14:paraId="21C0C592" w14:textId="5BCE3478" w:rsidR="005E1293" w:rsidRDefault="005E1293" w:rsidP="005E1293">
      <w:pPr>
        <w:spacing w:line="276" w:lineRule="auto"/>
        <w:jc w:val="both"/>
        <w:rPr>
          <w:rFonts w:cs="Times New Roman"/>
          <w:sz w:val="24"/>
          <w:szCs w:val="24"/>
          <w:lang w:val="en-GB"/>
        </w:rPr>
      </w:pPr>
      <w:r w:rsidRPr="005E1293">
        <w:rPr>
          <w:rFonts w:cs="Times New Roman"/>
          <w:sz w:val="24"/>
          <w:szCs w:val="24"/>
        </w:rPr>
        <w:t>This reinforces the importance of modeling climate risk using flexible machine learning approaches rather than linear specifications.</w:t>
      </w:r>
    </w:p>
    <w:p w14:paraId="039E5F4F" w14:textId="77777777" w:rsidR="001B227E" w:rsidRDefault="001B227E" w:rsidP="005E1293">
      <w:pPr>
        <w:spacing w:line="276" w:lineRule="auto"/>
        <w:jc w:val="both"/>
        <w:rPr>
          <w:rFonts w:cs="Times New Roman"/>
          <w:sz w:val="24"/>
          <w:szCs w:val="24"/>
          <w:lang w:val="en-GB"/>
        </w:rPr>
      </w:pPr>
    </w:p>
    <w:p w14:paraId="238CBB90" w14:textId="77777777" w:rsidR="001B227E" w:rsidRPr="001B227E" w:rsidRDefault="001B227E" w:rsidP="001B227E">
      <w:pPr>
        <w:spacing w:line="276" w:lineRule="auto"/>
        <w:jc w:val="both"/>
        <w:rPr>
          <w:rFonts w:cs="Times New Roman"/>
          <w:b/>
          <w:bCs/>
          <w:sz w:val="24"/>
          <w:szCs w:val="24"/>
          <w:lang w:val="en-GB"/>
        </w:rPr>
      </w:pPr>
      <w:r w:rsidRPr="001B227E">
        <w:rPr>
          <w:rFonts w:cs="Times New Roman"/>
          <w:b/>
          <w:bCs/>
          <w:sz w:val="24"/>
          <w:szCs w:val="24"/>
          <w:lang w:val="en-GB"/>
        </w:rPr>
        <w:t>4. Maximum Projected Loss under Severe Climate Scenario (RCP 8.5): –14.7%</w:t>
      </w:r>
    </w:p>
    <w:p w14:paraId="6904597A" w14:textId="77777777" w:rsidR="001B227E" w:rsidRPr="001B227E" w:rsidRDefault="001B227E" w:rsidP="001B227E">
      <w:pPr>
        <w:spacing w:line="276" w:lineRule="auto"/>
        <w:jc w:val="both"/>
        <w:rPr>
          <w:rFonts w:cs="Times New Roman"/>
          <w:sz w:val="24"/>
          <w:szCs w:val="24"/>
          <w:lang w:val="en-GB"/>
        </w:rPr>
      </w:pPr>
      <w:r w:rsidRPr="001B227E">
        <w:rPr>
          <w:rFonts w:cs="Times New Roman"/>
          <w:sz w:val="24"/>
          <w:szCs w:val="24"/>
          <w:lang w:val="en-GB"/>
        </w:rPr>
        <w:t>The stress-testing framework projects valuation losses reaching –14.7% under a severe intensification scenario consistent with high-emissions climate trajectories.</w:t>
      </w:r>
    </w:p>
    <w:p w14:paraId="2AA636DB" w14:textId="77777777" w:rsidR="001B227E" w:rsidRPr="001B227E" w:rsidRDefault="001B227E" w:rsidP="00690881">
      <w:pPr>
        <w:numPr>
          <w:ilvl w:val="0"/>
          <w:numId w:val="6"/>
        </w:numPr>
        <w:jc w:val="both"/>
        <w:rPr>
          <w:rFonts w:cs="Times New Roman"/>
          <w:sz w:val="24"/>
          <w:szCs w:val="24"/>
          <w:lang w:val="en-GB"/>
        </w:rPr>
      </w:pPr>
      <w:r w:rsidRPr="001B227E">
        <w:rPr>
          <w:rFonts w:cs="Times New Roman"/>
          <w:sz w:val="24"/>
          <w:szCs w:val="24"/>
          <w:lang w:val="en-GB"/>
        </w:rPr>
        <w:t>This magnitude is substantially larger than current observed pricing.</w:t>
      </w:r>
    </w:p>
    <w:p w14:paraId="45932B6D" w14:textId="77777777" w:rsidR="001B227E" w:rsidRPr="001B227E" w:rsidRDefault="001B227E" w:rsidP="00690881">
      <w:pPr>
        <w:numPr>
          <w:ilvl w:val="0"/>
          <w:numId w:val="6"/>
        </w:numPr>
        <w:jc w:val="both"/>
        <w:rPr>
          <w:rFonts w:cs="Times New Roman"/>
          <w:sz w:val="24"/>
          <w:szCs w:val="24"/>
          <w:lang w:val="en-GB"/>
        </w:rPr>
      </w:pPr>
      <w:r w:rsidRPr="001B227E">
        <w:rPr>
          <w:rFonts w:cs="Times New Roman"/>
          <w:sz w:val="24"/>
          <w:szCs w:val="24"/>
          <w:lang w:val="en-GB"/>
        </w:rPr>
        <w:t>It reflects forward-looking physical intensification rather than historical exposure.</w:t>
      </w:r>
    </w:p>
    <w:p w14:paraId="39F5D375" w14:textId="77777777" w:rsidR="001B227E" w:rsidRPr="001B227E" w:rsidRDefault="001B227E" w:rsidP="00690881">
      <w:pPr>
        <w:numPr>
          <w:ilvl w:val="0"/>
          <w:numId w:val="6"/>
        </w:numPr>
        <w:jc w:val="both"/>
        <w:rPr>
          <w:rFonts w:cs="Times New Roman"/>
          <w:sz w:val="24"/>
          <w:szCs w:val="24"/>
          <w:lang w:val="en-GB"/>
        </w:rPr>
      </w:pPr>
      <w:r w:rsidRPr="001B227E">
        <w:rPr>
          <w:rFonts w:cs="Times New Roman"/>
          <w:sz w:val="24"/>
          <w:szCs w:val="24"/>
          <w:lang w:val="en-GB"/>
        </w:rPr>
        <w:t>The projected losses are economically material and systemically significant.</w:t>
      </w:r>
    </w:p>
    <w:p w14:paraId="26BE07B2" w14:textId="77777777" w:rsidR="001B227E" w:rsidRPr="001B227E" w:rsidRDefault="001B227E" w:rsidP="001B227E">
      <w:pPr>
        <w:spacing w:line="276" w:lineRule="auto"/>
        <w:jc w:val="both"/>
        <w:rPr>
          <w:rFonts w:cs="Times New Roman"/>
          <w:sz w:val="24"/>
          <w:szCs w:val="24"/>
          <w:lang w:val="en-GB"/>
        </w:rPr>
      </w:pPr>
      <w:r w:rsidRPr="001B227E">
        <w:rPr>
          <w:rFonts w:cs="Times New Roman"/>
          <w:sz w:val="24"/>
          <w:szCs w:val="24"/>
          <w:lang w:val="en-GB"/>
        </w:rPr>
        <w:t>For a £500,000 property, this implies a potential loss exceeding £73,500.</w:t>
      </w:r>
    </w:p>
    <w:p w14:paraId="5D6013CF" w14:textId="77777777" w:rsidR="001B227E" w:rsidRPr="001B227E" w:rsidRDefault="001B227E" w:rsidP="001B227E">
      <w:pPr>
        <w:spacing w:line="276" w:lineRule="auto"/>
        <w:jc w:val="both"/>
        <w:rPr>
          <w:rFonts w:cs="Times New Roman"/>
          <w:b/>
          <w:bCs/>
          <w:sz w:val="24"/>
          <w:szCs w:val="24"/>
          <w:lang w:val="en-GB"/>
        </w:rPr>
      </w:pPr>
      <w:r w:rsidRPr="001B227E">
        <w:rPr>
          <w:rFonts w:cs="Times New Roman"/>
          <w:b/>
          <w:bCs/>
          <w:sz w:val="24"/>
          <w:szCs w:val="24"/>
          <w:lang w:val="en-GB"/>
        </w:rPr>
        <w:t>5. Stress Amplification Ratio: 23.3×</w:t>
      </w:r>
    </w:p>
    <w:p w14:paraId="49E4CF67" w14:textId="77777777" w:rsidR="001B227E" w:rsidRDefault="001B227E" w:rsidP="001B227E">
      <w:pPr>
        <w:spacing w:line="276" w:lineRule="auto"/>
        <w:jc w:val="both"/>
        <w:rPr>
          <w:rFonts w:cs="Times New Roman"/>
          <w:sz w:val="24"/>
          <w:szCs w:val="24"/>
          <w:lang w:val="en-GB"/>
        </w:rPr>
      </w:pPr>
      <w:r w:rsidRPr="001B227E">
        <w:rPr>
          <w:rFonts w:cs="Times New Roman"/>
          <w:sz w:val="24"/>
          <w:szCs w:val="24"/>
          <w:lang w:val="en-GB"/>
        </w:rPr>
        <w:t>The stress amplification ratio compares projected severe losses (14.7%) to the observed high-risk discount (0.63%):</w:t>
      </w:r>
    </w:p>
    <w:p w14:paraId="3D257A90" w14:textId="6E13EE80" w:rsidR="00690881" w:rsidRPr="001B227E" w:rsidRDefault="00690881" w:rsidP="001B227E">
      <w:pPr>
        <w:spacing w:line="276" w:lineRule="auto"/>
        <w:jc w:val="both"/>
        <w:rPr>
          <w:rFonts w:cs="Times New Roman"/>
          <w:sz w:val="24"/>
          <w:szCs w:val="24"/>
          <w:lang w:val="en-GB"/>
        </w:rPr>
      </w:pPr>
      <w:r>
        <w:rPr>
          <w:rFonts w:cs="Times New Roman"/>
          <w:sz w:val="24"/>
          <w:szCs w:val="24"/>
          <w:lang w:val="en-GB"/>
        </w:rPr>
        <w:t xml:space="preserve">Stress Amplification Ration = </w:t>
      </w:r>
      <m:oMath>
        <m:f>
          <m:fPr>
            <m:ctrlPr>
              <w:rPr>
                <w:rFonts w:ascii="Cambria Math" w:hAnsi="Cambria Math" w:cs="Times New Roman"/>
                <w:i/>
                <w:sz w:val="24"/>
                <w:szCs w:val="24"/>
                <w:lang w:val="en-GB"/>
              </w:rPr>
            </m:ctrlPr>
          </m:fPr>
          <m:num>
            <m:r>
              <m:rPr>
                <m:sty m:val="p"/>
              </m:rPr>
              <w:rPr>
                <w:rFonts w:ascii="Cambria Math" w:hAnsi="Cambria Math" w:cs="Times New Roman"/>
                <w:sz w:val="24"/>
                <w:szCs w:val="24"/>
              </w:rPr>
              <m:t>Maximum Projected Loss (RCP 8.5)</m:t>
            </m:r>
          </m:num>
          <m:den>
            <m:r>
              <m:rPr>
                <m:sty m:val="p"/>
              </m:rPr>
              <w:rPr>
                <w:rFonts w:ascii="Cambria Math" w:hAnsi="Cambria Math" w:cs="Times New Roman"/>
                <w:sz w:val="24"/>
                <w:szCs w:val="24"/>
              </w:rPr>
              <m:t xml:space="preserve">Observed HighRisk Zone Discount </m:t>
            </m:r>
          </m:den>
        </m:f>
        <m:r>
          <w:rPr>
            <w:rFonts w:ascii="Cambria Math" w:hAnsi="Cambria Math" w:cs="Times New Roman"/>
            <w:sz w:val="24"/>
            <w:szCs w:val="24"/>
            <w:lang w:val="en-GB"/>
          </w:rPr>
          <m:t xml:space="preserve">= </m:t>
        </m:r>
        <m:f>
          <m:fPr>
            <m:ctrlPr>
              <w:rPr>
                <w:rFonts w:ascii="Cambria Math" w:hAnsi="Cambria Math" w:cs="Times New Roman"/>
                <w:sz w:val="24"/>
                <w:szCs w:val="24"/>
                <w:lang w:val="en-GB"/>
              </w:rPr>
            </m:ctrlPr>
          </m:fPr>
          <m:num>
            <m:r>
              <w:rPr>
                <w:rFonts w:ascii="Cambria Math" w:hAnsi="Cambria Math" w:cs="Times New Roman"/>
                <w:sz w:val="24"/>
                <w:szCs w:val="24"/>
                <w:lang w:val="en-GB"/>
              </w:rPr>
              <m:t>14.7</m:t>
            </m:r>
          </m:num>
          <m:den>
            <m:r>
              <w:rPr>
                <w:rFonts w:ascii="Cambria Math" w:hAnsi="Cambria Math" w:cs="Times New Roman"/>
                <w:sz w:val="24"/>
                <w:szCs w:val="24"/>
                <w:lang w:val="en-GB"/>
              </w:rPr>
              <m:t>0.63</m:t>
            </m:r>
          </m:den>
        </m:f>
        <m:r>
          <w:rPr>
            <w:rFonts w:ascii="Cambria Math" w:hAnsi="Cambria Math" w:cs="Times New Roman"/>
            <w:sz w:val="24"/>
            <w:szCs w:val="24"/>
            <w:lang w:val="en-GB"/>
          </w:rPr>
          <m:t>≈23.3</m:t>
        </m:r>
      </m:oMath>
    </w:p>
    <w:p w14:paraId="50DE1324" w14:textId="77777777" w:rsidR="001B227E" w:rsidRPr="001B227E" w:rsidRDefault="001B227E" w:rsidP="00690881">
      <w:pPr>
        <w:numPr>
          <w:ilvl w:val="0"/>
          <w:numId w:val="7"/>
        </w:numPr>
        <w:jc w:val="both"/>
        <w:rPr>
          <w:rFonts w:cs="Times New Roman"/>
          <w:sz w:val="24"/>
          <w:szCs w:val="24"/>
          <w:lang w:val="en-GB"/>
        </w:rPr>
      </w:pPr>
      <w:r w:rsidRPr="001B227E">
        <w:rPr>
          <w:rFonts w:cs="Times New Roman"/>
          <w:sz w:val="24"/>
          <w:szCs w:val="24"/>
          <w:lang w:val="en-GB"/>
        </w:rPr>
        <w:t>Severe climate risk implies losses more than twenty times larger than currently priced discounts.</w:t>
      </w:r>
    </w:p>
    <w:p w14:paraId="72912BFC" w14:textId="77777777" w:rsidR="001B227E" w:rsidRPr="001B227E" w:rsidRDefault="001B227E" w:rsidP="00690881">
      <w:pPr>
        <w:numPr>
          <w:ilvl w:val="0"/>
          <w:numId w:val="7"/>
        </w:numPr>
        <w:jc w:val="both"/>
        <w:rPr>
          <w:rFonts w:cs="Times New Roman"/>
          <w:sz w:val="24"/>
          <w:szCs w:val="24"/>
          <w:lang w:val="en-GB"/>
        </w:rPr>
      </w:pPr>
      <w:r w:rsidRPr="001B227E">
        <w:rPr>
          <w:rFonts w:cs="Times New Roman"/>
          <w:sz w:val="24"/>
          <w:szCs w:val="24"/>
          <w:lang w:val="en-GB"/>
        </w:rPr>
        <w:t xml:space="preserve">This suggests substantial </w:t>
      </w:r>
      <w:proofErr w:type="spellStart"/>
      <w:r w:rsidRPr="001B227E">
        <w:rPr>
          <w:rFonts w:cs="Times New Roman"/>
          <w:sz w:val="24"/>
          <w:szCs w:val="24"/>
          <w:lang w:val="en-GB"/>
        </w:rPr>
        <w:t>underpricing</w:t>
      </w:r>
      <w:proofErr w:type="spellEnd"/>
      <w:r w:rsidRPr="001B227E">
        <w:rPr>
          <w:rFonts w:cs="Times New Roman"/>
          <w:sz w:val="24"/>
          <w:szCs w:val="24"/>
          <w:lang w:val="en-GB"/>
        </w:rPr>
        <w:t xml:space="preserve"> of extreme tail climate risk.</w:t>
      </w:r>
    </w:p>
    <w:p w14:paraId="46514F91" w14:textId="77777777" w:rsidR="001B227E" w:rsidRPr="001B227E" w:rsidRDefault="001B227E" w:rsidP="00690881">
      <w:pPr>
        <w:numPr>
          <w:ilvl w:val="0"/>
          <w:numId w:val="7"/>
        </w:numPr>
        <w:jc w:val="both"/>
        <w:rPr>
          <w:rFonts w:cs="Times New Roman"/>
          <w:sz w:val="24"/>
          <w:szCs w:val="24"/>
          <w:lang w:val="en-GB"/>
        </w:rPr>
      </w:pPr>
      <w:r w:rsidRPr="001B227E">
        <w:rPr>
          <w:rFonts w:cs="Times New Roman"/>
          <w:sz w:val="24"/>
          <w:szCs w:val="24"/>
          <w:lang w:val="en-GB"/>
        </w:rPr>
        <w:t>The housing market appears to internalize incremental exposure but not catastrophic intensification.</w:t>
      </w:r>
    </w:p>
    <w:p w14:paraId="3E1D3030" w14:textId="77777777" w:rsidR="001B227E" w:rsidRPr="001B227E" w:rsidRDefault="001B227E" w:rsidP="005E1293">
      <w:pPr>
        <w:spacing w:line="276" w:lineRule="auto"/>
        <w:jc w:val="both"/>
        <w:rPr>
          <w:rFonts w:cs="Times New Roman"/>
          <w:sz w:val="24"/>
          <w:szCs w:val="24"/>
          <w:lang w:val="en-GB"/>
        </w:rPr>
      </w:pPr>
    </w:p>
    <w:p w14:paraId="54271C38" w14:textId="77777777" w:rsidR="001037E4" w:rsidRDefault="001037E4" w:rsidP="001037E4">
      <w:pPr>
        <w:spacing w:line="276" w:lineRule="auto"/>
        <w:jc w:val="both"/>
        <w:rPr>
          <w:rFonts w:cs="Times New Roman"/>
          <w:sz w:val="24"/>
          <w:szCs w:val="24"/>
          <w:lang w:val="en-GB"/>
        </w:rPr>
      </w:pPr>
    </w:p>
    <w:p w14:paraId="7026B5D2" w14:textId="77777777" w:rsidR="001037E4" w:rsidRDefault="001037E4" w:rsidP="001037E4">
      <w:pPr>
        <w:spacing w:line="276" w:lineRule="auto"/>
        <w:jc w:val="both"/>
        <w:rPr>
          <w:rFonts w:cs="Times New Roman"/>
          <w:sz w:val="24"/>
          <w:szCs w:val="24"/>
          <w:lang w:val="en-GB"/>
        </w:rPr>
      </w:pPr>
    </w:p>
    <w:p w14:paraId="3EAF8474" w14:textId="77777777" w:rsidR="001037E4" w:rsidRDefault="001037E4" w:rsidP="001037E4">
      <w:pPr>
        <w:spacing w:line="276" w:lineRule="auto"/>
        <w:jc w:val="both"/>
        <w:rPr>
          <w:rFonts w:cs="Times New Roman"/>
          <w:sz w:val="24"/>
          <w:szCs w:val="24"/>
          <w:lang w:val="en-GB"/>
        </w:rPr>
      </w:pPr>
    </w:p>
    <w:p w14:paraId="2FB886A2" w14:textId="2838324F" w:rsidR="006A2D5E" w:rsidRPr="006A2D5E" w:rsidRDefault="006A2D5E" w:rsidP="006A2D5E">
      <w:pPr>
        <w:spacing w:line="276" w:lineRule="auto"/>
        <w:jc w:val="both"/>
        <w:rPr>
          <w:rFonts w:cs="Times New Roman"/>
          <w:sz w:val="24"/>
          <w:szCs w:val="24"/>
          <w:lang w:val="en-GB"/>
        </w:rPr>
      </w:pPr>
    </w:p>
    <w:p w14:paraId="020070BA" w14:textId="77777777" w:rsidR="007B239B" w:rsidRPr="00834DC6" w:rsidRDefault="007B239B" w:rsidP="00810A11">
      <w:pPr>
        <w:spacing w:line="276" w:lineRule="auto"/>
        <w:jc w:val="both"/>
        <w:rPr>
          <w:rFonts w:cs="Times New Roman"/>
          <w:sz w:val="24"/>
          <w:szCs w:val="24"/>
          <w:lang w:val="en-GB"/>
        </w:rPr>
      </w:pPr>
    </w:p>
    <w:p w14:paraId="71BA6B25" w14:textId="77777777" w:rsidR="007B239B" w:rsidRPr="00834DC6" w:rsidRDefault="007B239B" w:rsidP="00810A11">
      <w:pPr>
        <w:spacing w:line="276" w:lineRule="auto"/>
        <w:jc w:val="both"/>
        <w:rPr>
          <w:rFonts w:cs="Times New Roman"/>
          <w:sz w:val="24"/>
          <w:szCs w:val="24"/>
          <w:lang w:val="en-GB"/>
        </w:rPr>
      </w:pPr>
    </w:p>
    <w:p w14:paraId="2AA3B010" w14:textId="77777777" w:rsidR="005D4D0E" w:rsidRPr="00834DC6" w:rsidRDefault="005D4D0E" w:rsidP="00810A11">
      <w:pPr>
        <w:spacing w:line="276" w:lineRule="auto"/>
        <w:jc w:val="both"/>
        <w:rPr>
          <w:rFonts w:cs="Times New Roman"/>
          <w:sz w:val="24"/>
          <w:szCs w:val="24"/>
          <w:lang w:val="en-GB"/>
        </w:rPr>
      </w:pPr>
    </w:p>
    <w:sectPr w:rsidR="005D4D0E" w:rsidRPr="00834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D7C"/>
    <w:multiLevelType w:val="multilevel"/>
    <w:tmpl w:val="605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D1B05"/>
    <w:multiLevelType w:val="multilevel"/>
    <w:tmpl w:val="ADC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E6A3D"/>
    <w:multiLevelType w:val="multilevel"/>
    <w:tmpl w:val="D04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F0D96"/>
    <w:multiLevelType w:val="hybridMultilevel"/>
    <w:tmpl w:val="A322E762"/>
    <w:lvl w:ilvl="0" w:tplc="832E0762">
      <w:start w:val="2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7A77EF"/>
    <w:multiLevelType w:val="multilevel"/>
    <w:tmpl w:val="B90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F0E44"/>
    <w:multiLevelType w:val="hybridMultilevel"/>
    <w:tmpl w:val="CD46B0EE"/>
    <w:lvl w:ilvl="0" w:tplc="2070D3D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144CB2"/>
    <w:multiLevelType w:val="multilevel"/>
    <w:tmpl w:val="0FA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65180">
    <w:abstractNumId w:val="5"/>
  </w:num>
  <w:num w:numId="2" w16cid:durableId="1657108662">
    <w:abstractNumId w:val="0"/>
  </w:num>
  <w:num w:numId="3" w16cid:durableId="1820802128">
    <w:abstractNumId w:val="1"/>
  </w:num>
  <w:num w:numId="4" w16cid:durableId="252471622">
    <w:abstractNumId w:val="4"/>
  </w:num>
  <w:num w:numId="5" w16cid:durableId="1992178439">
    <w:abstractNumId w:val="3"/>
  </w:num>
  <w:num w:numId="6" w16cid:durableId="1673528620">
    <w:abstractNumId w:val="2"/>
  </w:num>
  <w:num w:numId="7" w16cid:durableId="18250755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11"/>
    <w:rsid w:val="00021265"/>
    <w:rsid w:val="00083EB2"/>
    <w:rsid w:val="00097338"/>
    <w:rsid w:val="000B5895"/>
    <w:rsid w:val="000C050C"/>
    <w:rsid w:val="000C5EF7"/>
    <w:rsid w:val="000D2483"/>
    <w:rsid w:val="001037E4"/>
    <w:rsid w:val="0014644A"/>
    <w:rsid w:val="0015293D"/>
    <w:rsid w:val="00160F52"/>
    <w:rsid w:val="00170CC3"/>
    <w:rsid w:val="00177468"/>
    <w:rsid w:val="001A6950"/>
    <w:rsid w:val="001B227E"/>
    <w:rsid w:val="001B30A1"/>
    <w:rsid w:val="001B5FEE"/>
    <w:rsid w:val="001C45A9"/>
    <w:rsid w:val="001D2551"/>
    <w:rsid w:val="001D4349"/>
    <w:rsid w:val="00200512"/>
    <w:rsid w:val="00275FD1"/>
    <w:rsid w:val="0028471B"/>
    <w:rsid w:val="003233B4"/>
    <w:rsid w:val="00324901"/>
    <w:rsid w:val="00374EFB"/>
    <w:rsid w:val="003751E5"/>
    <w:rsid w:val="0038551E"/>
    <w:rsid w:val="003A2710"/>
    <w:rsid w:val="003F57C8"/>
    <w:rsid w:val="00424FDD"/>
    <w:rsid w:val="004654C4"/>
    <w:rsid w:val="0047584B"/>
    <w:rsid w:val="0048000E"/>
    <w:rsid w:val="004B174F"/>
    <w:rsid w:val="004B19D7"/>
    <w:rsid w:val="005A3594"/>
    <w:rsid w:val="005A6E13"/>
    <w:rsid w:val="005D4D0E"/>
    <w:rsid w:val="005E1293"/>
    <w:rsid w:val="005E3515"/>
    <w:rsid w:val="00620A99"/>
    <w:rsid w:val="00690881"/>
    <w:rsid w:val="006A2D5E"/>
    <w:rsid w:val="006B19EF"/>
    <w:rsid w:val="00715DCD"/>
    <w:rsid w:val="00722F2E"/>
    <w:rsid w:val="007337DD"/>
    <w:rsid w:val="007A6820"/>
    <w:rsid w:val="007B239B"/>
    <w:rsid w:val="007E392A"/>
    <w:rsid w:val="00810A11"/>
    <w:rsid w:val="00834DC6"/>
    <w:rsid w:val="00837791"/>
    <w:rsid w:val="00852615"/>
    <w:rsid w:val="00860B85"/>
    <w:rsid w:val="00883342"/>
    <w:rsid w:val="008D3459"/>
    <w:rsid w:val="0094131A"/>
    <w:rsid w:val="00A35BFB"/>
    <w:rsid w:val="00AD4278"/>
    <w:rsid w:val="00B017ED"/>
    <w:rsid w:val="00B111E3"/>
    <w:rsid w:val="00B2651B"/>
    <w:rsid w:val="00B26E3E"/>
    <w:rsid w:val="00B96B05"/>
    <w:rsid w:val="00BA61FA"/>
    <w:rsid w:val="00BB7FCE"/>
    <w:rsid w:val="00BD2B8A"/>
    <w:rsid w:val="00BD2E98"/>
    <w:rsid w:val="00C02368"/>
    <w:rsid w:val="00C22656"/>
    <w:rsid w:val="00C46A00"/>
    <w:rsid w:val="00C80AAC"/>
    <w:rsid w:val="00CD213E"/>
    <w:rsid w:val="00CD581D"/>
    <w:rsid w:val="00D24E40"/>
    <w:rsid w:val="00D3214F"/>
    <w:rsid w:val="00D4603F"/>
    <w:rsid w:val="00D87483"/>
    <w:rsid w:val="00E163B3"/>
    <w:rsid w:val="00E235EE"/>
    <w:rsid w:val="00E2422A"/>
    <w:rsid w:val="00E53134"/>
    <w:rsid w:val="00EE3ABB"/>
    <w:rsid w:val="00F078F7"/>
    <w:rsid w:val="00F84598"/>
    <w:rsid w:val="00FB653C"/>
    <w:rsid w:val="00FC1D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59EC"/>
  <w15:chartTrackingRefBased/>
  <w15:docId w15:val="{ADBDF90F-A7D7-4462-88CB-B5CA0203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A11"/>
    <w:pPr>
      <w:spacing w:line="240" w:lineRule="auto"/>
    </w:pPr>
    <w:rPr>
      <w:rFonts w:ascii="Times New Roman" w:hAnsi="Times New Roman"/>
      <w:kern w:val="0"/>
      <w:sz w:val="28"/>
      <w:szCs w:val="22"/>
      <w:lang w:val="ru-RU"/>
      <w14:ligatures w14:val="none"/>
    </w:rPr>
  </w:style>
  <w:style w:type="paragraph" w:styleId="Heading1">
    <w:name w:val="heading 1"/>
    <w:basedOn w:val="Normal"/>
    <w:next w:val="Normal"/>
    <w:link w:val="Heading1Char"/>
    <w:uiPriority w:val="9"/>
    <w:qFormat/>
    <w:rsid w:val="00810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A1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10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11"/>
    <w:rPr>
      <w:rFonts w:eastAsiaTheme="majorEastAsia" w:cstheme="majorBidi"/>
      <w:color w:val="272727" w:themeColor="text1" w:themeTint="D8"/>
    </w:rPr>
  </w:style>
  <w:style w:type="paragraph" w:styleId="Title">
    <w:name w:val="Title"/>
    <w:basedOn w:val="Normal"/>
    <w:next w:val="Normal"/>
    <w:link w:val="TitleChar"/>
    <w:uiPriority w:val="10"/>
    <w:qFormat/>
    <w:rsid w:val="00810A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1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0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11"/>
    <w:pPr>
      <w:spacing w:before="160"/>
      <w:jc w:val="center"/>
    </w:pPr>
    <w:rPr>
      <w:i/>
      <w:iCs/>
      <w:color w:val="404040" w:themeColor="text1" w:themeTint="BF"/>
    </w:rPr>
  </w:style>
  <w:style w:type="character" w:customStyle="1" w:styleId="QuoteChar">
    <w:name w:val="Quote Char"/>
    <w:basedOn w:val="DefaultParagraphFont"/>
    <w:link w:val="Quote"/>
    <w:uiPriority w:val="29"/>
    <w:rsid w:val="00810A11"/>
    <w:rPr>
      <w:i/>
      <w:iCs/>
      <w:color w:val="404040" w:themeColor="text1" w:themeTint="BF"/>
    </w:rPr>
  </w:style>
  <w:style w:type="paragraph" w:styleId="ListParagraph">
    <w:name w:val="List Paragraph"/>
    <w:basedOn w:val="Normal"/>
    <w:uiPriority w:val="34"/>
    <w:qFormat/>
    <w:rsid w:val="00810A11"/>
    <w:pPr>
      <w:ind w:left="720"/>
      <w:contextualSpacing/>
    </w:pPr>
  </w:style>
  <w:style w:type="character" w:styleId="IntenseEmphasis">
    <w:name w:val="Intense Emphasis"/>
    <w:basedOn w:val="DefaultParagraphFont"/>
    <w:uiPriority w:val="21"/>
    <w:qFormat/>
    <w:rsid w:val="00810A11"/>
    <w:rPr>
      <w:i/>
      <w:iCs/>
      <w:color w:val="0F4761" w:themeColor="accent1" w:themeShade="BF"/>
    </w:rPr>
  </w:style>
  <w:style w:type="paragraph" w:styleId="IntenseQuote">
    <w:name w:val="Intense Quote"/>
    <w:basedOn w:val="Normal"/>
    <w:next w:val="Normal"/>
    <w:link w:val="IntenseQuoteChar"/>
    <w:uiPriority w:val="30"/>
    <w:qFormat/>
    <w:rsid w:val="0081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A11"/>
    <w:rPr>
      <w:i/>
      <w:iCs/>
      <w:color w:val="0F4761" w:themeColor="accent1" w:themeShade="BF"/>
    </w:rPr>
  </w:style>
  <w:style w:type="character" w:styleId="IntenseReference">
    <w:name w:val="Intense Reference"/>
    <w:basedOn w:val="DefaultParagraphFont"/>
    <w:uiPriority w:val="32"/>
    <w:qFormat/>
    <w:rsid w:val="00810A11"/>
    <w:rPr>
      <w:b/>
      <w:bCs/>
      <w:smallCaps/>
      <w:color w:val="0F4761" w:themeColor="accent1" w:themeShade="BF"/>
      <w:spacing w:val="5"/>
    </w:rPr>
  </w:style>
  <w:style w:type="table" w:styleId="TableGrid">
    <w:name w:val="Table Grid"/>
    <w:basedOn w:val="TableNormal"/>
    <w:uiPriority w:val="39"/>
    <w:rsid w:val="00810A11"/>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293D"/>
    <w:rPr>
      <w:color w:val="666666"/>
    </w:rPr>
  </w:style>
  <w:style w:type="paragraph" w:styleId="Caption">
    <w:name w:val="caption"/>
    <w:basedOn w:val="Normal"/>
    <w:next w:val="Normal"/>
    <w:uiPriority w:val="35"/>
    <w:unhideWhenUsed/>
    <w:qFormat/>
    <w:rsid w:val="000B589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596</TotalTime>
  <Pages>9</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Paulinus Ugwu</dc:creator>
  <cp:keywords/>
  <dc:description/>
  <cp:lastModifiedBy>Paulinus Ugwu</cp:lastModifiedBy>
  <cp:revision>82</cp:revision>
  <dcterms:created xsi:type="dcterms:W3CDTF">2026-02-14T22:22:00Z</dcterms:created>
  <dcterms:modified xsi:type="dcterms:W3CDTF">2026-03-02T22:06:00Z</dcterms:modified>
</cp:coreProperties>
</file>