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AA1B5" w14:textId="7FC43D91" w:rsidR="009353F3" w:rsidRPr="009353F3" w:rsidRDefault="00AB3FBD" w:rsidP="009353F3">
      <w:pPr>
        <w:rPr>
          <w:b/>
          <w:bCs/>
        </w:rPr>
      </w:pPr>
      <w:r>
        <w:rPr>
          <w:b/>
          <w:bCs/>
        </w:rPr>
        <w:t>Entendendo sobre Segurança e Identidade na Azure</w:t>
      </w:r>
    </w:p>
    <w:p w14:paraId="71EA7DA2" w14:textId="58A1EDED" w:rsidR="009353F3" w:rsidRPr="009353F3" w:rsidRDefault="005D6E21" w:rsidP="009353F3">
      <w:r>
        <w:t>Este projeto</w:t>
      </w:r>
      <w:r w:rsidR="009353F3" w:rsidRPr="009353F3">
        <w:t xml:space="preserve"> detalha os recursos, funcionalidades e procedimentos de gerenciamento de identidades e acesso na plataforma Microsoft Azure, com foco na administração do Microsoft Entra ID (anteriormente Azure Active </w:t>
      </w:r>
      <w:proofErr w:type="spellStart"/>
      <w:r w:rsidR="009353F3" w:rsidRPr="009353F3">
        <w:t>Directory</w:t>
      </w:r>
      <w:proofErr w:type="spellEnd"/>
      <w:r w:rsidR="009353F3" w:rsidRPr="009353F3">
        <w:t>) e na implementação do Controle de Acesso Baseado em Função (RBAC) do Azure, conforme demonstrado nas interfaces de gerenciamento e validado pela documentação oficial da Microsoft.</w:t>
      </w:r>
    </w:p>
    <w:p w14:paraId="4BE2AABC" w14:textId="77777777" w:rsidR="009353F3" w:rsidRPr="009353F3" w:rsidRDefault="009353F3" w:rsidP="009353F3">
      <w:pPr>
        <w:rPr>
          <w:b/>
          <w:bCs/>
        </w:rPr>
      </w:pPr>
      <w:r w:rsidRPr="009353F3">
        <w:rPr>
          <w:b/>
          <w:bCs/>
        </w:rPr>
        <w:t xml:space="preserve">Capítulo 1: Fundamentos do </w:t>
      </w:r>
      <w:proofErr w:type="spellStart"/>
      <w:r w:rsidRPr="009353F3">
        <w:rPr>
          <w:b/>
          <w:bCs/>
        </w:rPr>
        <w:t>Tenant</w:t>
      </w:r>
      <w:proofErr w:type="spellEnd"/>
      <w:r w:rsidRPr="009353F3">
        <w:rPr>
          <w:b/>
          <w:bCs/>
        </w:rPr>
        <w:t xml:space="preserve"> e Governança de Identidade (Microsoft Entra ID)</w:t>
      </w:r>
    </w:p>
    <w:p w14:paraId="51BCC3F0" w14:textId="77777777" w:rsidR="009353F3" w:rsidRPr="009353F3" w:rsidRDefault="009353F3" w:rsidP="009353F3">
      <w:r w:rsidRPr="009353F3">
        <w:t>O gerenciamento de identidades e acesso (IAM) começa no nível do locatário (</w:t>
      </w:r>
      <w:proofErr w:type="spellStart"/>
      <w:r w:rsidRPr="009353F3">
        <w:t>tenant</w:t>
      </w:r>
      <w:proofErr w:type="spellEnd"/>
      <w:r w:rsidRPr="009353F3">
        <w:t>), que serve como o limite administrativo e o contêiner lógico para todos os usuários, grupos e aplicativos dentro de uma organização que utiliza serviços Microsoft Cloud.</w:t>
      </w:r>
    </w:p>
    <w:p w14:paraId="51B5BFA1" w14:textId="77777777" w:rsidR="009353F3" w:rsidRPr="009353F3" w:rsidRDefault="009353F3" w:rsidP="009353F3">
      <w:pPr>
        <w:rPr>
          <w:b/>
          <w:bCs/>
        </w:rPr>
      </w:pPr>
      <w:r w:rsidRPr="009353F3">
        <w:rPr>
          <w:b/>
          <w:bCs/>
        </w:rPr>
        <w:t>1.1. Estrutura e Visão Geral do Diretório Padrão (Imagem 1)</w:t>
      </w:r>
    </w:p>
    <w:p w14:paraId="44855D7A" w14:textId="52385CD1" w:rsidR="009353F3" w:rsidRPr="009353F3" w:rsidRDefault="009353F3" w:rsidP="009353F3">
      <w:r w:rsidRPr="009353F3">
        <w:t xml:space="preserve">A Imagem 1 exibe a página de </w:t>
      </w:r>
      <w:r w:rsidRPr="009353F3">
        <w:rPr>
          <w:b/>
          <w:bCs/>
        </w:rPr>
        <w:t>Visão Geral</w:t>
      </w:r>
      <w:r w:rsidRPr="009353F3">
        <w:t xml:space="preserve"> do diretório, identificada como o Default </w:t>
      </w:r>
      <w:proofErr w:type="spellStart"/>
      <w:r w:rsidRPr="009353F3">
        <w:t>Directory</w:t>
      </w:r>
      <w:proofErr w:type="spellEnd"/>
      <w:r w:rsidRPr="009353F3">
        <w:t>. A administração centralizada ocorre por meio do portal do Azure, que agora integra o Centro de Administração do Microsoft Entra.</w:t>
      </w:r>
    </w:p>
    <w:p w14:paraId="4B5FF0EE" w14:textId="1FB82658" w:rsidR="009353F3" w:rsidRPr="009353F3" w:rsidRDefault="009353F3" w:rsidP="009353F3">
      <w:r w:rsidRPr="009353F3">
        <w:t xml:space="preserve">As informações básicas de identificação do locatário incluem o </w:t>
      </w:r>
      <w:r w:rsidRPr="009353F3">
        <w:rPr>
          <w:b/>
          <w:bCs/>
        </w:rPr>
        <w:t>Nome</w:t>
      </w:r>
      <w:r w:rsidRPr="009353F3">
        <w:t xml:space="preserve"> (Default </w:t>
      </w:r>
      <w:proofErr w:type="spellStart"/>
      <w:r w:rsidRPr="009353F3">
        <w:t>Directory</w:t>
      </w:r>
      <w:proofErr w:type="spellEnd"/>
      <w:r w:rsidRPr="009353F3">
        <w:t xml:space="preserve">), o </w:t>
      </w:r>
      <w:r w:rsidRPr="009353F3">
        <w:rPr>
          <w:b/>
          <w:bCs/>
        </w:rPr>
        <w:t>ID do Locatário</w:t>
      </w:r>
      <w:r w:rsidRPr="009353F3">
        <w:t xml:space="preserve"> (GUID exclusivo) e o </w:t>
      </w:r>
      <w:r w:rsidRPr="009353F3">
        <w:rPr>
          <w:b/>
          <w:bCs/>
        </w:rPr>
        <w:t>Domínio Primário</w:t>
      </w:r>
      <w:r w:rsidRPr="009353F3">
        <w:t xml:space="preserve"> (paulo</w:t>
      </w:r>
      <w:r w:rsidR="005D6E21">
        <w:t>f</w:t>
      </w:r>
      <w:r w:rsidRPr="009353F3">
        <w:t xml:space="preserve">reitasjunior76@hotmail.onmicrosoft.com). Estes detalhes são essenciais para configurar </w:t>
      </w:r>
      <w:proofErr w:type="spellStart"/>
      <w:r w:rsidRPr="009353F3">
        <w:t>endpoints</w:t>
      </w:r>
      <w:proofErr w:type="spellEnd"/>
      <w:r w:rsidRPr="009353F3">
        <w:t xml:space="preserve"> de autenticação e comunicação </w:t>
      </w:r>
      <w:proofErr w:type="spellStart"/>
      <w:r w:rsidRPr="009353F3">
        <w:t>inter-tenant</w:t>
      </w:r>
      <w:proofErr w:type="spellEnd"/>
      <w:r w:rsidRPr="009353F3">
        <w:t>.</w:t>
      </w:r>
    </w:p>
    <w:p w14:paraId="3AAAAB9C" w14:textId="77777777" w:rsidR="009353F3" w:rsidRPr="009353F3" w:rsidRDefault="009353F3" w:rsidP="009353F3">
      <w:pPr>
        <w:rPr>
          <w:b/>
          <w:bCs/>
        </w:rPr>
      </w:pPr>
      <w:r w:rsidRPr="009353F3">
        <w:rPr>
          <w:b/>
          <w:bCs/>
        </w:rPr>
        <w:t>Licenciamento e Funcionalidades</w:t>
      </w:r>
    </w:p>
    <w:p w14:paraId="40864EA6" w14:textId="6FA319C3" w:rsidR="009353F3" w:rsidRPr="009353F3" w:rsidRDefault="009353F3" w:rsidP="009353F3">
      <w:r w:rsidRPr="009353F3">
        <w:t xml:space="preserve">O locatário em análise está configurado com a licença </w:t>
      </w:r>
      <w:r w:rsidRPr="009353F3">
        <w:rPr>
          <w:b/>
          <w:bCs/>
        </w:rPr>
        <w:t>Microsoft Entra ID Free</w:t>
      </w:r>
      <w:r w:rsidRPr="009353F3">
        <w:t>. Embora seja a camada básica, ela oferece um conjunto robusto de serviços de identidade sem custo, essenciais para a operação fundamental de qualquer organização na nuvem. Os serviços incluídos são:</w:t>
      </w:r>
    </w:p>
    <w:p w14:paraId="7B83FB03" w14:textId="77777777" w:rsidR="009353F3" w:rsidRPr="009353F3" w:rsidRDefault="009353F3" w:rsidP="009353F3">
      <w:pPr>
        <w:numPr>
          <w:ilvl w:val="0"/>
          <w:numId w:val="1"/>
        </w:numPr>
      </w:pPr>
      <w:r w:rsidRPr="009353F3">
        <w:rPr>
          <w:b/>
          <w:bCs/>
        </w:rPr>
        <w:t>Gerenciamento de Usuários e Grupos:</w:t>
      </w:r>
      <w:r w:rsidRPr="009353F3">
        <w:t xml:space="preserve"> Administração completa de identidades internas e externas.</w:t>
      </w:r>
    </w:p>
    <w:p w14:paraId="11419196" w14:textId="5F20474C" w:rsidR="009353F3" w:rsidRPr="009353F3" w:rsidRDefault="009353F3" w:rsidP="009353F3">
      <w:pPr>
        <w:numPr>
          <w:ilvl w:val="0"/>
          <w:numId w:val="1"/>
        </w:numPr>
      </w:pPr>
      <w:r w:rsidRPr="009353F3">
        <w:rPr>
          <w:b/>
          <w:bCs/>
        </w:rPr>
        <w:t>Sincronização de Diretório Local:</w:t>
      </w:r>
      <w:r w:rsidRPr="009353F3">
        <w:t xml:space="preserve"> Suporte para arquiteturas de identidade híbrida.</w:t>
      </w:r>
    </w:p>
    <w:p w14:paraId="1B7AE5C3" w14:textId="77777777" w:rsidR="009353F3" w:rsidRPr="009353F3" w:rsidRDefault="009353F3" w:rsidP="009353F3">
      <w:pPr>
        <w:numPr>
          <w:ilvl w:val="0"/>
          <w:numId w:val="1"/>
        </w:numPr>
      </w:pPr>
      <w:r w:rsidRPr="009353F3">
        <w:rPr>
          <w:b/>
          <w:bCs/>
        </w:rPr>
        <w:t>Relatórios Básicos:</w:t>
      </w:r>
      <w:r w:rsidRPr="009353F3">
        <w:t xml:space="preserve"> Monitoramento fundamental das atividades de identidade.</w:t>
      </w:r>
    </w:p>
    <w:p w14:paraId="54CD1B24" w14:textId="77777777" w:rsidR="009353F3" w:rsidRPr="009353F3" w:rsidRDefault="009353F3" w:rsidP="009353F3">
      <w:pPr>
        <w:numPr>
          <w:ilvl w:val="0"/>
          <w:numId w:val="1"/>
        </w:numPr>
      </w:pPr>
      <w:r w:rsidRPr="009353F3">
        <w:rPr>
          <w:b/>
          <w:bCs/>
        </w:rPr>
        <w:t>Alteração de Senha de Autoatendimento (SSPR) para Usuários da Nuvem:</w:t>
      </w:r>
      <w:r w:rsidRPr="009353F3">
        <w:t xml:space="preserve"> Funcionalidade básica de redefinição de senha sem intervenção administrativa.</w:t>
      </w:r>
    </w:p>
    <w:p w14:paraId="5B9721D9" w14:textId="46BB0BAC" w:rsidR="009353F3" w:rsidRPr="009353F3" w:rsidRDefault="009353F3" w:rsidP="009353F3">
      <w:pPr>
        <w:numPr>
          <w:ilvl w:val="0"/>
          <w:numId w:val="1"/>
        </w:numPr>
      </w:pPr>
      <w:r w:rsidRPr="009353F3">
        <w:rPr>
          <w:b/>
          <w:bCs/>
        </w:rPr>
        <w:t xml:space="preserve">Single </w:t>
      </w:r>
      <w:proofErr w:type="spellStart"/>
      <w:r w:rsidRPr="009353F3">
        <w:rPr>
          <w:b/>
          <w:bCs/>
        </w:rPr>
        <w:t>Sign-On</w:t>
      </w:r>
      <w:proofErr w:type="spellEnd"/>
      <w:r w:rsidRPr="009353F3">
        <w:rPr>
          <w:b/>
          <w:bCs/>
        </w:rPr>
        <w:t xml:space="preserve"> (SSO):</w:t>
      </w:r>
      <w:r w:rsidRPr="009353F3">
        <w:t xml:space="preserve"> Acesso unificado a aplicativos Azure, Microsoft 365 e a muitos aplicativos SaaS populares.</w:t>
      </w:r>
    </w:p>
    <w:p w14:paraId="4FFA5FA4" w14:textId="77777777" w:rsidR="009353F3" w:rsidRPr="009353F3" w:rsidRDefault="009353F3" w:rsidP="009353F3">
      <w:r w:rsidRPr="009353F3">
        <w:t>A obtenção da licença Free geralmente está atrelada à conta de cobrança do Azure ou a uma assinatura do Microsoft 365.</w:t>
      </w:r>
    </w:p>
    <w:p w14:paraId="5334004D" w14:textId="77777777" w:rsidR="009353F3" w:rsidRPr="009353F3" w:rsidRDefault="009353F3" w:rsidP="009353F3">
      <w:pPr>
        <w:rPr>
          <w:b/>
          <w:bCs/>
        </w:rPr>
      </w:pPr>
      <w:r w:rsidRPr="009353F3">
        <w:rPr>
          <w:b/>
          <w:bCs/>
        </w:rPr>
        <w:t>1.2. Alerta de Governança Crítico: Migração de Políticas de Autenticação Convergidas</w:t>
      </w:r>
    </w:p>
    <w:p w14:paraId="0CFC6F21" w14:textId="2391522D" w:rsidR="009353F3" w:rsidRPr="009353F3" w:rsidRDefault="009353F3" w:rsidP="009353F3">
      <w:r w:rsidRPr="009353F3">
        <w:t xml:space="preserve">A </w:t>
      </w:r>
      <w:r w:rsidR="005D6E21">
        <w:t>Figura</w:t>
      </w:r>
      <w:r w:rsidRPr="009353F3">
        <w:t xml:space="preserve"> 1 apresenta um alerta de segurança proeminente, exigindo a </w:t>
      </w:r>
      <w:r w:rsidRPr="009353F3">
        <w:rPr>
          <w:b/>
          <w:bCs/>
        </w:rPr>
        <w:t>migração para a política de métodos de autenticação convergentes</w:t>
      </w:r>
      <w:r w:rsidRPr="009353F3">
        <w:t>. Esta é uma diretriz de alta prioridade de segurança e governança de identidade.</w:t>
      </w:r>
    </w:p>
    <w:p w14:paraId="4B4000B5" w14:textId="77777777" w:rsidR="009353F3" w:rsidRPr="009353F3" w:rsidRDefault="009353F3" w:rsidP="009353F3">
      <w:pPr>
        <w:rPr>
          <w:b/>
          <w:bCs/>
        </w:rPr>
      </w:pPr>
      <w:r w:rsidRPr="009353F3">
        <w:rPr>
          <w:b/>
          <w:bCs/>
        </w:rPr>
        <w:t>Urgência e Prazo de Depreciação</w:t>
      </w:r>
    </w:p>
    <w:p w14:paraId="7167F0AC" w14:textId="5499E27C" w:rsidR="009353F3" w:rsidRPr="009353F3" w:rsidRDefault="009353F3" w:rsidP="009353F3">
      <w:r w:rsidRPr="009353F3">
        <w:lastRenderedPageBreak/>
        <w:t xml:space="preserve">A Microsoft estabeleceu o prazo de </w:t>
      </w:r>
      <w:r w:rsidRPr="009353F3">
        <w:rPr>
          <w:b/>
          <w:bCs/>
        </w:rPr>
        <w:t>30 de setembro de 2025</w:t>
      </w:r>
      <w:r w:rsidRPr="009353F3">
        <w:t xml:space="preserve"> para que os clientes migrem suas configurações de métodos de autenticação das políticas legadas de </w:t>
      </w:r>
      <w:proofErr w:type="spellStart"/>
      <w:r w:rsidRPr="009353F3">
        <w:rPr>
          <w:b/>
          <w:bCs/>
        </w:rPr>
        <w:t>Multi-Factor</w:t>
      </w:r>
      <w:proofErr w:type="spellEnd"/>
      <w:r w:rsidRPr="009353F3">
        <w:rPr>
          <w:b/>
          <w:bCs/>
        </w:rPr>
        <w:t xml:space="preserve"> </w:t>
      </w:r>
      <w:proofErr w:type="spellStart"/>
      <w:r w:rsidRPr="009353F3">
        <w:rPr>
          <w:b/>
          <w:bCs/>
        </w:rPr>
        <w:t>Authentication</w:t>
      </w:r>
      <w:proofErr w:type="spellEnd"/>
      <w:r w:rsidRPr="009353F3">
        <w:rPr>
          <w:b/>
          <w:bCs/>
        </w:rPr>
        <w:t xml:space="preserve"> (MFA) por usuário</w:t>
      </w:r>
      <w:r w:rsidRPr="009353F3">
        <w:t xml:space="preserve"> e </w:t>
      </w:r>
      <w:r w:rsidRPr="009353F3">
        <w:rPr>
          <w:b/>
          <w:bCs/>
        </w:rPr>
        <w:t xml:space="preserve">Self-Service </w:t>
      </w:r>
      <w:proofErr w:type="spellStart"/>
      <w:r w:rsidRPr="009353F3">
        <w:rPr>
          <w:b/>
          <w:bCs/>
        </w:rPr>
        <w:t>Password</w:t>
      </w:r>
      <w:proofErr w:type="spellEnd"/>
      <w:r w:rsidRPr="009353F3">
        <w:rPr>
          <w:b/>
          <w:bCs/>
        </w:rPr>
        <w:t xml:space="preserve"> Reset (SSPR)</w:t>
      </w:r>
      <w:r w:rsidRPr="009353F3">
        <w:t xml:space="preserve"> para a nova e unificada </w:t>
      </w:r>
      <w:r w:rsidRPr="009353F3">
        <w:rPr>
          <w:b/>
          <w:bCs/>
        </w:rPr>
        <w:t>Política de Métodos de Autenticação</w:t>
      </w:r>
      <w:r w:rsidRPr="009353F3">
        <w:t>. Após essa data, o gerenciamento de métodos nessas políticas legadas será desabilitado.</w:t>
      </w:r>
    </w:p>
    <w:p w14:paraId="3B88FD48" w14:textId="77777777" w:rsidR="009353F3" w:rsidRPr="009353F3" w:rsidRDefault="009353F3" w:rsidP="009353F3">
      <w:pPr>
        <w:rPr>
          <w:b/>
          <w:bCs/>
        </w:rPr>
      </w:pPr>
      <w:r w:rsidRPr="009353F3">
        <w:rPr>
          <w:b/>
          <w:bCs/>
        </w:rPr>
        <w:t>Justificativa e Implicação da Mudança Arquitetônica</w:t>
      </w:r>
    </w:p>
    <w:p w14:paraId="1169844F" w14:textId="65D94347" w:rsidR="009353F3" w:rsidRPr="009353F3" w:rsidRDefault="009353F3" w:rsidP="009353F3">
      <w:r w:rsidRPr="009353F3">
        <w:t xml:space="preserve">A necessidade de migração decorre das limitações das políticas legadas. Historicamente, essas políticas permitiam que os administradores ativassem métodos de autenticação em um nível global, mas não ofereciam controle granular sobre </w:t>
      </w:r>
      <w:r w:rsidRPr="009353F3">
        <w:rPr>
          <w:i/>
          <w:iCs/>
        </w:rPr>
        <w:t>quais</w:t>
      </w:r>
      <w:r w:rsidRPr="009353F3">
        <w:t xml:space="preserve"> usuários poderiam usar </w:t>
      </w:r>
      <w:r w:rsidRPr="009353F3">
        <w:rPr>
          <w:i/>
          <w:iCs/>
        </w:rPr>
        <w:t>quais</w:t>
      </w:r>
      <w:r w:rsidRPr="009353F3">
        <w:t xml:space="preserve"> métodos. Isso resultava em uma aplicação de segurança de "tudo ou nada", dificultando a imposição de métodos mais rigorosos (como o Microsoft </w:t>
      </w:r>
      <w:proofErr w:type="spellStart"/>
      <w:r w:rsidRPr="009353F3">
        <w:t>Authenticator</w:t>
      </w:r>
      <w:proofErr w:type="spellEnd"/>
      <w:r w:rsidRPr="009353F3">
        <w:t>) a grupos de usuários de alto risco.</w:t>
      </w:r>
    </w:p>
    <w:p w14:paraId="18057350" w14:textId="77777777" w:rsidR="009353F3" w:rsidRPr="009353F3" w:rsidRDefault="009353F3" w:rsidP="009353F3">
      <w:r w:rsidRPr="009353F3">
        <w:t xml:space="preserve">A adoção do modelo convergido unifica o gerenciamento de todos os métodos de autenticação em um único local e, fundamentalmente, permite o direcionamento explícito a grupos de usuários. Essa capacidade é indispensável para arquiteturas de segurança modernas, pois suporta diretamente os princípios do </w:t>
      </w:r>
      <w:r w:rsidRPr="009353F3">
        <w:rPr>
          <w:b/>
          <w:bCs/>
          <w:i/>
          <w:iCs/>
        </w:rPr>
        <w:t>Zero Trust</w:t>
      </w:r>
      <w:r w:rsidRPr="009353F3">
        <w:t>, garantindo que o acesso a métodos de autenticação seja baseado na necessidade e no risco do usuário.</w:t>
      </w:r>
    </w:p>
    <w:p w14:paraId="242588C6" w14:textId="77777777" w:rsidR="009353F3" w:rsidRPr="009353F3" w:rsidRDefault="009353F3" w:rsidP="009353F3">
      <w:pPr>
        <w:rPr>
          <w:b/>
          <w:bCs/>
        </w:rPr>
      </w:pPr>
      <w:r w:rsidRPr="009353F3">
        <w:rPr>
          <w:b/>
          <w:bCs/>
        </w:rPr>
        <w:t>1.3. Procedimento de Migração e Controles de Transição</w:t>
      </w:r>
    </w:p>
    <w:p w14:paraId="4EFCDD0F" w14:textId="61AE43CB" w:rsidR="009353F3" w:rsidRPr="009353F3" w:rsidRDefault="009353F3" w:rsidP="009353F3">
      <w:r w:rsidRPr="009353F3">
        <w:t>O processo de migração é auxiliado por um guia disponível no centro de administração do Microsoft Entra (Entra ID &gt; Métodos de Autenticação &gt; Políticas). Este guia facilita a auditoria das configurações atuais de MFA e SSPR e a consolidação dessas configurações na política unificada.</w:t>
      </w:r>
    </w:p>
    <w:p w14:paraId="55B96D14" w14:textId="77777777" w:rsidR="009353F3" w:rsidRPr="009353F3" w:rsidRDefault="009353F3" w:rsidP="009353F3">
      <w:r w:rsidRPr="009353F3">
        <w:t xml:space="preserve">A transição é gerenciada por três opções de controle manual, projetadas para permitir que as organizações façam a migração no seu próprio ritmo, minimizando o impacto nas operações de </w:t>
      </w:r>
      <w:proofErr w:type="spellStart"/>
      <w:r w:rsidRPr="009353F3">
        <w:t>sign</w:t>
      </w:r>
      <w:proofErr w:type="spellEnd"/>
      <w:r w:rsidRPr="009353F3">
        <w:t>-in e SSPR para os usuários:</w:t>
      </w:r>
    </w:p>
    <w:p w14:paraId="459A6FEF" w14:textId="77777777" w:rsidR="009353F3" w:rsidRPr="009353F3" w:rsidRDefault="009353F3" w:rsidP="009353F3">
      <w:pPr>
        <w:rPr>
          <w:b/>
          <w:bCs/>
        </w:rPr>
      </w:pPr>
      <w:proofErr w:type="spellStart"/>
      <w:r w:rsidRPr="009353F3">
        <w:rPr>
          <w:b/>
          <w:bCs/>
        </w:rPr>
        <w:t>Table</w:t>
      </w:r>
      <w:proofErr w:type="spellEnd"/>
      <w:r w:rsidRPr="009353F3">
        <w:rPr>
          <w:b/>
          <w:bCs/>
        </w:rPr>
        <w:t xml:space="preserve"> 1.1: Opções de Controle de Migração de Métodos de Autenticação</w:t>
      </w:r>
    </w:p>
    <w:tbl>
      <w:tblPr>
        <w:tblW w:w="0" w:type="auto"/>
        <w:tblCellSpacing w:w="15" w:type="dxa"/>
        <w:tblCellMar>
          <w:left w:w="0" w:type="dxa"/>
          <w:right w:w="0" w:type="dxa"/>
        </w:tblCellMar>
        <w:tblLook w:val="04A0" w:firstRow="1" w:lastRow="0" w:firstColumn="1" w:lastColumn="0" w:noHBand="0" w:noVBand="1"/>
      </w:tblPr>
      <w:tblGrid>
        <w:gridCol w:w="2024"/>
        <w:gridCol w:w="3109"/>
        <w:gridCol w:w="3355"/>
      </w:tblGrid>
      <w:tr w:rsidR="009353F3" w:rsidRPr="009353F3" w14:paraId="2FFBEE0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C4EB3B" w14:textId="77777777" w:rsidR="009353F3" w:rsidRPr="009353F3" w:rsidRDefault="009353F3" w:rsidP="009353F3">
            <w:r w:rsidRPr="009353F3">
              <w:rPr>
                <w:b/>
                <w:bCs/>
              </w:rPr>
              <w:t>Opção de Migração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81143F" w14:textId="77777777" w:rsidR="009353F3" w:rsidRPr="009353F3" w:rsidRDefault="009353F3" w:rsidP="009353F3">
            <w:r w:rsidRPr="009353F3">
              <w:rPr>
                <w:b/>
                <w:bCs/>
              </w:rPr>
              <w:t>Uso da Política de Métodos de Autenticação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2783F" w14:textId="77777777" w:rsidR="009353F3" w:rsidRPr="009353F3" w:rsidRDefault="009353F3" w:rsidP="009353F3">
            <w:r w:rsidRPr="009353F3">
              <w:rPr>
                <w:b/>
                <w:bCs/>
              </w:rPr>
              <w:t>Status da Política Legada (MFA/SSPR)</w:t>
            </w:r>
          </w:p>
        </w:tc>
      </w:tr>
      <w:tr w:rsidR="009353F3" w:rsidRPr="009353F3" w14:paraId="3250474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7D7B6" w14:textId="77777777" w:rsidR="009353F3" w:rsidRPr="009353F3" w:rsidRDefault="009353F3" w:rsidP="009353F3">
            <w:proofErr w:type="spellStart"/>
            <w:r w:rsidRPr="009353F3">
              <w:t>Pré</w:t>
            </w:r>
            <w:proofErr w:type="spellEnd"/>
            <w:r w:rsidRPr="009353F3">
              <w:t>-migração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4B5867" w14:textId="77777777" w:rsidR="009353F3" w:rsidRPr="009353F3" w:rsidRDefault="009353F3" w:rsidP="009353F3">
            <w:r w:rsidRPr="009353F3">
              <w:t xml:space="preserve">Usada </w:t>
            </w:r>
            <w:r w:rsidRPr="009353F3">
              <w:rPr>
                <w:i/>
                <w:iCs/>
              </w:rPr>
              <w:t>apenas</w:t>
            </w:r>
            <w:r w:rsidRPr="009353F3">
              <w:t xml:space="preserve"> para autenticação de entrada.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8B47DA" w14:textId="77777777" w:rsidR="009353F3" w:rsidRPr="009353F3" w:rsidRDefault="009353F3" w:rsidP="009353F3">
            <w:r w:rsidRPr="009353F3">
              <w:t>As configurações legadas são integralmente respeitadas.</w:t>
            </w:r>
          </w:p>
        </w:tc>
      </w:tr>
      <w:tr w:rsidR="009353F3" w:rsidRPr="009353F3" w14:paraId="5A36D6D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AEA12" w14:textId="77777777" w:rsidR="009353F3" w:rsidRPr="009353F3" w:rsidRDefault="009353F3" w:rsidP="009353F3">
            <w:r w:rsidRPr="009353F3">
              <w:t>Migração em Andamento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82A3BC" w14:textId="77777777" w:rsidR="009353F3" w:rsidRPr="009353F3" w:rsidRDefault="009353F3" w:rsidP="009353F3">
            <w:r w:rsidRPr="009353F3">
              <w:t xml:space="preserve">Usada para autenticação de entrada </w:t>
            </w:r>
            <w:r w:rsidRPr="009353F3">
              <w:rPr>
                <w:i/>
                <w:iCs/>
              </w:rPr>
              <w:t>e</w:t>
            </w:r>
            <w:r w:rsidRPr="009353F3">
              <w:t xml:space="preserve"> para SSPR.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D02C0D" w14:textId="77777777" w:rsidR="009353F3" w:rsidRPr="009353F3" w:rsidRDefault="009353F3" w:rsidP="009353F3">
            <w:r w:rsidRPr="009353F3">
              <w:t>As configurações legadas ainda são respeitadas.</w:t>
            </w:r>
          </w:p>
        </w:tc>
      </w:tr>
      <w:tr w:rsidR="009353F3" w:rsidRPr="009353F3" w14:paraId="24594C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DE1570" w14:textId="77777777" w:rsidR="009353F3" w:rsidRPr="009353F3" w:rsidRDefault="009353F3" w:rsidP="009353F3">
            <w:r w:rsidRPr="009353F3">
              <w:t>Migração Concluída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E916CB" w14:textId="77777777" w:rsidR="009353F3" w:rsidRPr="009353F3" w:rsidRDefault="009353F3" w:rsidP="009353F3">
            <w:r w:rsidRPr="009353F3">
              <w:t xml:space="preserve">Usada </w:t>
            </w:r>
            <w:r w:rsidRPr="009353F3">
              <w:rPr>
                <w:i/>
                <w:iCs/>
              </w:rPr>
              <w:t>exclusivamente</w:t>
            </w:r>
            <w:r w:rsidRPr="009353F3">
              <w:t xml:space="preserve"> para autenticação e SSPR.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1C50EC" w14:textId="77777777" w:rsidR="009353F3" w:rsidRPr="009353F3" w:rsidRDefault="009353F3" w:rsidP="009353F3">
            <w:r w:rsidRPr="009353F3">
              <w:t>As configurações legadas de MFA e SSPR são ignoradas.</w:t>
            </w:r>
          </w:p>
        </w:tc>
      </w:tr>
    </w:tbl>
    <w:p w14:paraId="1D1EF5BD" w14:textId="77777777" w:rsidR="00E74CF3" w:rsidRDefault="00E74CF3" w:rsidP="009353F3"/>
    <w:p w14:paraId="10CAFC30" w14:textId="4DC747A0" w:rsidR="009353F3" w:rsidRPr="009353F3" w:rsidRDefault="009353F3" w:rsidP="009353F3">
      <w:r w:rsidRPr="009353F3">
        <w:lastRenderedPageBreak/>
        <w:t xml:space="preserve">Uma observação técnica importante é que, no momento, o método de autenticação de </w:t>
      </w:r>
      <w:r w:rsidRPr="009353F3">
        <w:rPr>
          <w:b/>
          <w:bCs/>
        </w:rPr>
        <w:t>perguntas de segurança</w:t>
      </w:r>
      <w:r w:rsidRPr="009353F3">
        <w:t xml:space="preserve"> (Security </w:t>
      </w:r>
      <w:proofErr w:type="spellStart"/>
      <w:r w:rsidRPr="009353F3">
        <w:t>questions</w:t>
      </w:r>
      <w:proofErr w:type="spellEnd"/>
      <w:r w:rsidRPr="009353F3">
        <w:t xml:space="preserve">) só pode ser habilitado através da política SSPR legada. Caso uma organização dependa desse método, ela deve manter as políticas legadas ativas (nos status </w:t>
      </w:r>
      <w:proofErr w:type="spellStart"/>
      <w:r w:rsidRPr="009353F3">
        <w:t>Pré</w:t>
      </w:r>
      <w:proofErr w:type="spellEnd"/>
      <w:r w:rsidRPr="009353F3">
        <w:t xml:space="preserve">-migração ou Migração em Andamento) até que a Microsoft disponibilize um controle de migração específico para as perguntas de </w:t>
      </w:r>
      <w:proofErr w:type="gramStart"/>
      <w:r w:rsidRPr="009353F3">
        <w:t>segurança .</w:t>
      </w:r>
      <w:proofErr w:type="gramEnd"/>
    </w:p>
    <w:p w14:paraId="5639819F" w14:textId="77777777" w:rsidR="009353F3" w:rsidRPr="009353F3" w:rsidRDefault="009353F3" w:rsidP="009353F3">
      <w:pPr>
        <w:rPr>
          <w:b/>
          <w:bCs/>
        </w:rPr>
      </w:pPr>
      <w:r w:rsidRPr="009353F3">
        <w:rPr>
          <w:b/>
          <w:bCs/>
        </w:rPr>
        <w:t>Capítulo 2: Gestão Detalhada de Usuários e Colaboração B2B (Microsoft Entra ID)</w:t>
      </w:r>
    </w:p>
    <w:p w14:paraId="772E95D6" w14:textId="77777777" w:rsidR="009353F3" w:rsidRPr="009353F3" w:rsidRDefault="009353F3" w:rsidP="009353F3">
      <w:r w:rsidRPr="009353F3">
        <w:t>O gerenciamento de usuários no Microsoft Entra ID envolve a criação de identidades internas (Membros) e o convite de identidades externas (Colaboração B2B), cada um com fluxos e implicações distintas.</w:t>
      </w:r>
    </w:p>
    <w:p w14:paraId="51373438" w14:textId="77777777" w:rsidR="009353F3" w:rsidRPr="009353F3" w:rsidRDefault="009353F3" w:rsidP="009353F3">
      <w:pPr>
        <w:rPr>
          <w:b/>
          <w:bCs/>
        </w:rPr>
      </w:pPr>
      <w:r w:rsidRPr="009353F3">
        <w:rPr>
          <w:b/>
          <w:bCs/>
        </w:rPr>
        <w:t>2.1. Gerenciamento Centralizado de Usuários (Imagem 2)</w:t>
      </w:r>
    </w:p>
    <w:p w14:paraId="4DDB1D63" w14:textId="73EAFE4A" w:rsidR="009353F3" w:rsidRPr="009353F3" w:rsidRDefault="009353F3" w:rsidP="009353F3">
      <w:r w:rsidRPr="009353F3">
        <w:t xml:space="preserve">A interface </w:t>
      </w:r>
      <w:r w:rsidRPr="009353F3">
        <w:rPr>
          <w:b/>
          <w:bCs/>
        </w:rPr>
        <w:t>Usuários</w:t>
      </w:r>
      <w:r w:rsidRPr="009353F3">
        <w:t xml:space="preserve"> (</w:t>
      </w:r>
      <w:r w:rsidR="00E74CF3">
        <w:t xml:space="preserve">Figura </w:t>
      </w:r>
      <w:r w:rsidRPr="009353F3">
        <w:t xml:space="preserve">2) serve como o painel central para gerenciar todas as identidades, sejam elas internas ou externas. O painel fornece acesso imediato a ferramentas de governança e solução de problemas, como Logs de Auditoria, Logs de Entrada e funcionalidades de Operação de Massa (Bulk </w:t>
      </w:r>
      <w:proofErr w:type="spellStart"/>
      <w:r w:rsidRPr="009353F3">
        <w:t>operations</w:t>
      </w:r>
      <w:proofErr w:type="spellEnd"/>
      <w:r w:rsidRPr="009353F3">
        <w:t xml:space="preserve">), essenciais para a administração eficiente de grandes volumes de usuários. A interface também reforça a transição de nomenclatura, referindo-se ao "Azure Active </w:t>
      </w:r>
      <w:proofErr w:type="spellStart"/>
      <w:r w:rsidRPr="009353F3">
        <w:t>Directory</w:t>
      </w:r>
      <w:proofErr w:type="spellEnd"/>
      <w:r w:rsidRPr="009353F3">
        <w:t xml:space="preserve"> agora é Microsoft Entra ID".</w:t>
      </w:r>
    </w:p>
    <w:p w14:paraId="6A033F05" w14:textId="77777777" w:rsidR="009353F3" w:rsidRPr="009353F3" w:rsidRDefault="009353F3" w:rsidP="009353F3">
      <w:pPr>
        <w:rPr>
          <w:b/>
          <w:bCs/>
        </w:rPr>
      </w:pPr>
      <w:r w:rsidRPr="009353F3">
        <w:rPr>
          <w:b/>
          <w:bCs/>
        </w:rPr>
        <w:t>2.2. Criação de Novo Usuário Interno (Membro) (Imagem 3)</w:t>
      </w:r>
    </w:p>
    <w:p w14:paraId="19959DC7" w14:textId="133DB65C" w:rsidR="009353F3" w:rsidRPr="009353F3" w:rsidRDefault="009353F3" w:rsidP="009353F3">
      <w:r w:rsidRPr="009353F3">
        <w:t xml:space="preserve">O </w:t>
      </w:r>
      <w:proofErr w:type="gramStart"/>
      <w:r w:rsidRPr="009353F3">
        <w:t xml:space="preserve">procedimento </w:t>
      </w:r>
      <w:r w:rsidRPr="009353F3">
        <w:rPr>
          <w:b/>
          <w:bCs/>
        </w:rPr>
        <w:t>Criar</w:t>
      </w:r>
      <w:proofErr w:type="gramEnd"/>
      <w:r w:rsidRPr="009353F3">
        <w:rPr>
          <w:b/>
          <w:bCs/>
        </w:rPr>
        <w:t xml:space="preserve"> um novo usuário interno</w:t>
      </w:r>
      <w:r w:rsidRPr="009353F3">
        <w:t xml:space="preserve"> (</w:t>
      </w:r>
      <w:r w:rsidR="00E74CF3">
        <w:t>Figura</w:t>
      </w:r>
      <w:r w:rsidRPr="009353F3">
        <w:t xml:space="preserve"> 3) é destinado a identidades consideradas parte da organização (funcionários). O fluxo de criação exige informações básicas na primeira aba:</w:t>
      </w:r>
    </w:p>
    <w:p w14:paraId="1BD2918B" w14:textId="77777777" w:rsidR="009353F3" w:rsidRPr="009353F3" w:rsidRDefault="009353F3" w:rsidP="009353F3">
      <w:pPr>
        <w:numPr>
          <w:ilvl w:val="0"/>
          <w:numId w:val="2"/>
        </w:numPr>
      </w:pPr>
      <w:r w:rsidRPr="009353F3">
        <w:rPr>
          <w:b/>
          <w:bCs/>
        </w:rPr>
        <w:t>Nome UPN (</w:t>
      </w:r>
      <w:proofErr w:type="spellStart"/>
      <w:r w:rsidRPr="009353F3">
        <w:rPr>
          <w:b/>
          <w:bCs/>
        </w:rPr>
        <w:t>User</w:t>
      </w:r>
      <w:proofErr w:type="spellEnd"/>
      <w:r w:rsidRPr="009353F3">
        <w:rPr>
          <w:b/>
          <w:bCs/>
        </w:rPr>
        <w:t xml:space="preserve"> Principal </w:t>
      </w:r>
      <w:proofErr w:type="spellStart"/>
      <w:r w:rsidRPr="009353F3">
        <w:rPr>
          <w:b/>
          <w:bCs/>
        </w:rPr>
        <w:t>Name</w:t>
      </w:r>
      <w:proofErr w:type="spellEnd"/>
      <w:r w:rsidRPr="009353F3">
        <w:rPr>
          <w:b/>
          <w:bCs/>
        </w:rPr>
        <w:t>):</w:t>
      </w:r>
      <w:r w:rsidRPr="009353F3">
        <w:t xml:space="preserve"> O nome de usuário exclusivo seguido pelo domínio.</w:t>
      </w:r>
    </w:p>
    <w:p w14:paraId="78264873" w14:textId="77777777" w:rsidR="009353F3" w:rsidRPr="009353F3" w:rsidRDefault="009353F3" w:rsidP="009353F3">
      <w:pPr>
        <w:numPr>
          <w:ilvl w:val="0"/>
          <w:numId w:val="2"/>
        </w:numPr>
      </w:pPr>
      <w:r w:rsidRPr="009353F3">
        <w:rPr>
          <w:b/>
          <w:bCs/>
        </w:rPr>
        <w:t xml:space="preserve">Nome para exibição (Display </w:t>
      </w:r>
      <w:proofErr w:type="spellStart"/>
      <w:r w:rsidRPr="009353F3">
        <w:rPr>
          <w:b/>
          <w:bCs/>
        </w:rPr>
        <w:t>Name</w:t>
      </w:r>
      <w:proofErr w:type="spellEnd"/>
      <w:r w:rsidRPr="009353F3">
        <w:rPr>
          <w:b/>
          <w:bCs/>
        </w:rPr>
        <w:t>):</w:t>
      </w:r>
      <w:r w:rsidRPr="009353F3">
        <w:t xml:space="preserve"> O nome amigável que será visto na interface do Microsoft 365 e em outros serviços.</w:t>
      </w:r>
    </w:p>
    <w:p w14:paraId="6FB66480" w14:textId="6586FF11" w:rsidR="009353F3" w:rsidRPr="009353F3" w:rsidRDefault="009353F3" w:rsidP="009353F3">
      <w:pPr>
        <w:numPr>
          <w:ilvl w:val="0"/>
          <w:numId w:val="2"/>
        </w:numPr>
      </w:pPr>
      <w:r w:rsidRPr="009353F3">
        <w:rPr>
          <w:b/>
          <w:bCs/>
        </w:rPr>
        <w:t>Senha:</w:t>
      </w:r>
      <w:r w:rsidRPr="009353F3">
        <w:t xml:space="preserve"> A senha pode ser definida manualmente ou gerada automaticamente, sendo esta última a prática recomendada de segurança.</w:t>
      </w:r>
    </w:p>
    <w:p w14:paraId="433A851A" w14:textId="77777777" w:rsidR="009353F3" w:rsidRPr="009353F3" w:rsidRDefault="009353F3" w:rsidP="009353F3">
      <w:pPr>
        <w:numPr>
          <w:ilvl w:val="0"/>
          <w:numId w:val="2"/>
        </w:numPr>
      </w:pPr>
      <w:r w:rsidRPr="009353F3">
        <w:rPr>
          <w:b/>
          <w:bCs/>
        </w:rPr>
        <w:t>Conta habilitada:</w:t>
      </w:r>
      <w:r w:rsidRPr="009353F3">
        <w:t xml:space="preserve"> Garante que a identidade possa ser usada imediatamente.</w:t>
      </w:r>
    </w:p>
    <w:p w14:paraId="37110100" w14:textId="3DF2175A" w:rsidR="009353F3" w:rsidRPr="009353F3" w:rsidRDefault="009353F3" w:rsidP="009353F3">
      <w:r w:rsidRPr="009353F3">
        <w:t xml:space="preserve">Ao criar um usuário interno, o atributo </w:t>
      </w:r>
      <w:proofErr w:type="spellStart"/>
      <w:r w:rsidRPr="009353F3">
        <w:t>UserType</w:t>
      </w:r>
      <w:proofErr w:type="spellEnd"/>
      <w:r w:rsidRPr="009353F3">
        <w:t xml:space="preserve"> é definido como </w:t>
      </w:r>
      <w:proofErr w:type="spellStart"/>
      <w:r w:rsidRPr="009353F3">
        <w:rPr>
          <w:b/>
          <w:bCs/>
        </w:rPr>
        <w:t>Member</w:t>
      </w:r>
      <w:proofErr w:type="spellEnd"/>
      <w:r w:rsidRPr="009353F3">
        <w:t xml:space="preserve"> por padrão, indicando que a identidade é considerada um funcionário e tem acesso padrão a recursos internos.</w:t>
      </w:r>
    </w:p>
    <w:p w14:paraId="22602C93" w14:textId="77777777" w:rsidR="009353F3" w:rsidRPr="009353F3" w:rsidRDefault="009353F3" w:rsidP="009353F3">
      <w:pPr>
        <w:rPr>
          <w:b/>
          <w:bCs/>
        </w:rPr>
      </w:pPr>
      <w:r w:rsidRPr="009353F3">
        <w:rPr>
          <w:b/>
          <w:bCs/>
        </w:rPr>
        <w:t>2.3. Colaboração B2B: Convite de Usuário Externo (Convidado) (Imagens 4, 5, 6)</w:t>
      </w:r>
    </w:p>
    <w:p w14:paraId="5E9AD97E" w14:textId="247F3CE6" w:rsidR="009353F3" w:rsidRPr="009353F3" w:rsidRDefault="009353F3" w:rsidP="009353F3">
      <w:r w:rsidRPr="009353F3">
        <w:t>O processo de convite de usuário externo é o mecanismo da Colaboração B2B (Business-</w:t>
      </w:r>
      <w:proofErr w:type="spellStart"/>
      <w:r w:rsidRPr="009353F3">
        <w:t>to</w:t>
      </w:r>
      <w:proofErr w:type="spellEnd"/>
      <w:r w:rsidRPr="009353F3">
        <w:t xml:space="preserve">-Business) que permite o acesso a recursos do </w:t>
      </w:r>
      <w:proofErr w:type="spellStart"/>
      <w:r w:rsidRPr="009353F3">
        <w:t>tenant</w:t>
      </w:r>
      <w:proofErr w:type="spellEnd"/>
      <w:r w:rsidRPr="009353F3">
        <w:t xml:space="preserve"> utilizando credenciais gerenciadas pela organização parceira ou por provedores de identidade externos (como contas Microsoft).</w:t>
      </w:r>
    </w:p>
    <w:p w14:paraId="7596ABA9" w14:textId="77777777" w:rsidR="009353F3" w:rsidRPr="009353F3" w:rsidRDefault="009353F3" w:rsidP="009353F3">
      <w:pPr>
        <w:rPr>
          <w:b/>
          <w:bCs/>
        </w:rPr>
      </w:pPr>
      <w:r w:rsidRPr="009353F3">
        <w:rPr>
          <w:b/>
          <w:bCs/>
        </w:rPr>
        <w:t>Etapas do Convite B2B:</w:t>
      </w:r>
    </w:p>
    <w:p w14:paraId="30445A06" w14:textId="79736C07" w:rsidR="009353F3" w:rsidRPr="009353F3" w:rsidRDefault="009353F3" w:rsidP="009353F3">
      <w:pPr>
        <w:numPr>
          <w:ilvl w:val="0"/>
          <w:numId w:val="3"/>
        </w:numPr>
      </w:pPr>
      <w:r w:rsidRPr="009353F3">
        <w:rPr>
          <w:b/>
          <w:bCs/>
        </w:rPr>
        <w:t>Básico (Imagem 4):</w:t>
      </w:r>
      <w:r w:rsidRPr="009353F3">
        <w:t xml:space="preserve"> Foca nos detalhes da comunicação. Os campos obrigatórios incluem o </w:t>
      </w:r>
      <w:r w:rsidRPr="009353F3">
        <w:rPr>
          <w:b/>
          <w:bCs/>
        </w:rPr>
        <w:t>Email</w:t>
      </w:r>
      <w:r w:rsidRPr="009353F3">
        <w:t xml:space="preserve"> do convidado e o </w:t>
      </w:r>
      <w:r w:rsidRPr="009353F3">
        <w:rPr>
          <w:b/>
          <w:bCs/>
        </w:rPr>
        <w:t>Nome para exibição</w:t>
      </w:r>
      <w:r w:rsidRPr="009353F3">
        <w:t xml:space="preserve">. A caixa de seleção </w:t>
      </w:r>
      <w:proofErr w:type="gramStart"/>
      <w:r w:rsidRPr="009353F3">
        <w:t xml:space="preserve">para </w:t>
      </w:r>
      <w:r w:rsidRPr="009353F3">
        <w:rPr>
          <w:b/>
          <w:bCs/>
        </w:rPr>
        <w:t>Enviar</w:t>
      </w:r>
      <w:proofErr w:type="gramEnd"/>
      <w:r w:rsidRPr="009353F3">
        <w:rPr>
          <w:b/>
          <w:bCs/>
        </w:rPr>
        <w:t xml:space="preserve"> </w:t>
      </w:r>
      <w:proofErr w:type="spellStart"/>
      <w:r w:rsidRPr="009353F3">
        <w:rPr>
          <w:b/>
          <w:bCs/>
        </w:rPr>
        <w:t>mensagem</w:t>
      </w:r>
      <w:proofErr w:type="spellEnd"/>
      <w:r w:rsidRPr="009353F3">
        <w:rPr>
          <w:b/>
          <w:bCs/>
        </w:rPr>
        <w:t xml:space="preserve"> de convite</w:t>
      </w:r>
      <w:r w:rsidRPr="009353F3">
        <w:t xml:space="preserve"> permite personalizar o e-mail de notificação. Este e-mail contém a URL de resgate (</w:t>
      </w:r>
      <w:proofErr w:type="spellStart"/>
      <w:r w:rsidRPr="009353F3">
        <w:t>redemption</w:t>
      </w:r>
      <w:proofErr w:type="spellEnd"/>
      <w:r w:rsidRPr="009353F3">
        <w:t xml:space="preserve"> URL), que o usuário deve acessar para aceitar o convite e iniciar a colaboração.</w:t>
      </w:r>
    </w:p>
    <w:p w14:paraId="493E53BF" w14:textId="425666ED" w:rsidR="009353F3" w:rsidRPr="009353F3" w:rsidRDefault="009353F3" w:rsidP="009353F3">
      <w:pPr>
        <w:numPr>
          <w:ilvl w:val="0"/>
          <w:numId w:val="3"/>
        </w:numPr>
      </w:pPr>
      <w:r w:rsidRPr="009353F3">
        <w:rPr>
          <w:b/>
          <w:bCs/>
        </w:rPr>
        <w:lastRenderedPageBreak/>
        <w:t>Propriedades (Imagem 5):</w:t>
      </w:r>
      <w:r w:rsidRPr="009353F3">
        <w:t xml:space="preserve"> Permite preencher informações detalhadas sobre a identidade externa. O Tipo de usuário (</w:t>
      </w:r>
      <w:proofErr w:type="spellStart"/>
      <w:r w:rsidRPr="009353F3">
        <w:t>UserType</w:t>
      </w:r>
      <w:proofErr w:type="spellEnd"/>
      <w:r w:rsidRPr="009353F3">
        <w:t xml:space="preserve">) é </w:t>
      </w:r>
      <w:proofErr w:type="gramStart"/>
      <w:r w:rsidRPr="009353F3">
        <w:t xml:space="preserve">tipicamente </w:t>
      </w:r>
      <w:r w:rsidRPr="009353F3">
        <w:rPr>
          <w:b/>
          <w:bCs/>
        </w:rPr>
        <w:t>Convidado</w:t>
      </w:r>
      <w:proofErr w:type="gramEnd"/>
      <w:r w:rsidRPr="009353F3">
        <w:t xml:space="preserve"> (</w:t>
      </w:r>
      <w:proofErr w:type="spellStart"/>
      <w:r w:rsidRPr="009353F3">
        <w:t>Guest</w:t>
      </w:r>
      <w:proofErr w:type="spellEnd"/>
      <w:r w:rsidRPr="009353F3">
        <w:t>), o que impõe permissões limitadas de leitura no diretório, adequadas para colaboradores externos.</w:t>
      </w:r>
    </w:p>
    <w:p w14:paraId="771FAFBC" w14:textId="035D6028" w:rsidR="009353F3" w:rsidRPr="009353F3" w:rsidRDefault="009353F3" w:rsidP="009353F3">
      <w:pPr>
        <w:numPr>
          <w:ilvl w:val="0"/>
          <w:numId w:val="3"/>
        </w:numPr>
      </w:pPr>
      <w:r w:rsidRPr="009353F3">
        <w:rPr>
          <w:b/>
          <w:bCs/>
        </w:rPr>
        <w:t>Atribuições (Imagem 6):</w:t>
      </w:r>
      <w:r w:rsidRPr="009353F3">
        <w:t xml:space="preserve"> Permite o anexo imediato do novo usuário externo a até 20 grupos ou Funções do Microsoft Entra durante o processo de convite.</w:t>
      </w:r>
    </w:p>
    <w:p w14:paraId="15A5A7FA" w14:textId="77777777" w:rsidR="009353F3" w:rsidRPr="009353F3" w:rsidRDefault="009353F3" w:rsidP="009353F3">
      <w:pPr>
        <w:rPr>
          <w:b/>
          <w:bCs/>
        </w:rPr>
      </w:pPr>
      <w:r w:rsidRPr="009353F3">
        <w:rPr>
          <w:b/>
          <w:bCs/>
        </w:rPr>
        <w:t>2.4. Diferenciação e Análise do Perfil de Identidade Externa (Imagem 7)</w:t>
      </w:r>
    </w:p>
    <w:p w14:paraId="0F29CBDC" w14:textId="2DE2A665" w:rsidR="009353F3" w:rsidRPr="009353F3" w:rsidRDefault="009353F3" w:rsidP="009353F3">
      <w:r w:rsidRPr="009353F3">
        <w:t xml:space="preserve">A </w:t>
      </w:r>
      <w:r w:rsidR="00E74CF3">
        <w:t>Figura</w:t>
      </w:r>
      <w:r w:rsidRPr="009353F3">
        <w:t xml:space="preserve"> 7 ilustra o perfil de um usuário (Paulo Junior) que possui características de uma identidade externa com um nível de acesso interno elevado.</w:t>
      </w:r>
    </w:p>
    <w:p w14:paraId="517E6693" w14:textId="77777777" w:rsidR="009353F3" w:rsidRPr="009353F3" w:rsidRDefault="009353F3" w:rsidP="009353F3">
      <w:pPr>
        <w:rPr>
          <w:b/>
          <w:bCs/>
        </w:rPr>
      </w:pPr>
      <w:r w:rsidRPr="009353F3">
        <w:rPr>
          <w:b/>
          <w:bCs/>
        </w:rPr>
        <w:t>A Marcação #EXT# e o Tipo de Usuário</w:t>
      </w:r>
    </w:p>
    <w:p w14:paraId="79320352" w14:textId="05C34C59" w:rsidR="009353F3" w:rsidRPr="009353F3" w:rsidRDefault="009353F3" w:rsidP="009353F3">
      <w:r w:rsidRPr="009353F3">
        <w:t xml:space="preserve">O campo </w:t>
      </w:r>
      <w:r w:rsidRPr="009353F3">
        <w:rPr>
          <w:b/>
          <w:bCs/>
        </w:rPr>
        <w:t>Nome UPN</w:t>
      </w:r>
      <w:r w:rsidRPr="009353F3">
        <w:t xml:space="preserve"> do usuário em questão apresenta a marcação #EXT# (exemplo: </w:t>
      </w:r>
      <w:proofErr w:type="spellStart"/>
      <w:r w:rsidRPr="009353F3">
        <w:t>paulo</w:t>
      </w:r>
      <w:proofErr w:type="spellEnd"/>
      <w:r w:rsidRPr="009353F3">
        <w:t xml:space="preserve"> freitasjunior76@hotmail.com#EXT#@...onmicrosoft.com). A presença de #EXT# é o indicador fundamental de que o objeto de usuário é uma identidade de </w:t>
      </w:r>
      <w:r w:rsidRPr="009353F3">
        <w:rPr>
          <w:b/>
          <w:bCs/>
        </w:rPr>
        <w:t>Colaboração B2B</w:t>
      </w:r>
      <w:r w:rsidRPr="009353F3">
        <w:t xml:space="preserve">, que se autentica externamente (usando uma </w:t>
      </w:r>
      <w:proofErr w:type="spellStart"/>
      <w:r w:rsidRPr="009353F3">
        <w:t>MicrosoftAccount</w:t>
      </w:r>
      <w:proofErr w:type="spellEnd"/>
      <w:r w:rsidRPr="009353F3">
        <w:t>).</w:t>
      </w:r>
    </w:p>
    <w:p w14:paraId="0EB64C8A" w14:textId="3BAE225A" w:rsidR="009353F3" w:rsidRPr="009353F3" w:rsidRDefault="009353F3" w:rsidP="009353F3">
      <w:r w:rsidRPr="009353F3">
        <w:t xml:space="preserve">Embora a maioria dos usuários B2B seja adicionada como </w:t>
      </w:r>
      <w:r w:rsidRPr="009353F3">
        <w:rPr>
          <w:b/>
          <w:bCs/>
        </w:rPr>
        <w:t>Convidado</w:t>
      </w:r>
      <w:r w:rsidRPr="009353F3">
        <w:t xml:space="preserve"> (</w:t>
      </w:r>
      <w:proofErr w:type="spellStart"/>
      <w:r w:rsidRPr="009353F3">
        <w:t>Guest</w:t>
      </w:r>
      <w:proofErr w:type="spellEnd"/>
      <w:r w:rsidRPr="009353F3">
        <w:t xml:space="preserve">), o perfil da </w:t>
      </w:r>
      <w:r w:rsidR="00E74CF3">
        <w:t>Figura</w:t>
      </w:r>
      <w:r w:rsidRPr="009353F3">
        <w:t xml:space="preserve"> 7 está configurado como </w:t>
      </w:r>
      <w:r w:rsidRPr="009353F3">
        <w:rPr>
          <w:b/>
          <w:bCs/>
        </w:rPr>
        <w:t>Membro</w:t>
      </w:r>
      <w:r w:rsidRPr="009353F3">
        <w:t xml:space="preserve"> (</w:t>
      </w:r>
      <w:proofErr w:type="spellStart"/>
      <w:r w:rsidRPr="009353F3">
        <w:t>Member</w:t>
      </w:r>
      <w:proofErr w:type="spellEnd"/>
      <w:r w:rsidRPr="009353F3">
        <w:t>).</w:t>
      </w:r>
    </w:p>
    <w:p w14:paraId="02A30568" w14:textId="7EF18270" w:rsidR="009353F3" w:rsidRPr="009353F3" w:rsidRDefault="009353F3" w:rsidP="009353F3">
      <w:pPr>
        <w:numPr>
          <w:ilvl w:val="0"/>
          <w:numId w:val="4"/>
        </w:numPr>
      </w:pPr>
      <w:r w:rsidRPr="009353F3">
        <w:rPr>
          <w:b/>
          <w:bCs/>
        </w:rPr>
        <w:t>Usuário Convidado (</w:t>
      </w:r>
      <w:proofErr w:type="spellStart"/>
      <w:r w:rsidRPr="009353F3">
        <w:rPr>
          <w:b/>
          <w:bCs/>
        </w:rPr>
        <w:t>Guest</w:t>
      </w:r>
      <w:proofErr w:type="spellEnd"/>
      <w:r w:rsidRPr="009353F3">
        <w:rPr>
          <w:b/>
          <w:bCs/>
        </w:rPr>
        <w:t>):</w:t>
      </w:r>
      <w:r w:rsidRPr="009353F3">
        <w:t xml:space="preserve"> Destinado a colaboradores que não são considerados funcionários e que devem ter acesso limitado ao diretório.</w:t>
      </w:r>
    </w:p>
    <w:p w14:paraId="43130DE5" w14:textId="3673E0EC" w:rsidR="009353F3" w:rsidRPr="009353F3" w:rsidRDefault="009353F3" w:rsidP="009353F3">
      <w:pPr>
        <w:numPr>
          <w:ilvl w:val="0"/>
          <w:numId w:val="4"/>
        </w:numPr>
      </w:pPr>
      <w:r w:rsidRPr="009353F3">
        <w:rPr>
          <w:b/>
          <w:bCs/>
        </w:rPr>
        <w:t>Membro Externo (</w:t>
      </w:r>
      <w:proofErr w:type="spellStart"/>
      <w:r w:rsidRPr="009353F3">
        <w:rPr>
          <w:b/>
          <w:bCs/>
        </w:rPr>
        <w:t>External</w:t>
      </w:r>
      <w:proofErr w:type="spellEnd"/>
      <w:r w:rsidRPr="009353F3">
        <w:rPr>
          <w:b/>
          <w:bCs/>
        </w:rPr>
        <w:t xml:space="preserve"> </w:t>
      </w:r>
      <w:proofErr w:type="spellStart"/>
      <w:r w:rsidRPr="009353F3">
        <w:rPr>
          <w:b/>
          <w:bCs/>
        </w:rPr>
        <w:t>Member</w:t>
      </w:r>
      <w:proofErr w:type="spellEnd"/>
      <w:r w:rsidRPr="009353F3">
        <w:rPr>
          <w:b/>
          <w:bCs/>
        </w:rPr>
        <w:t>):</w:t>
      </w:r>
      <w:r w:rsidRPr="009353F3">
        <w:t xml:space="preserve"> Identifica um usuário B2B que, apesar de ser externo, foi elevado ao status de Membro. Este cenário é comum em ambientes </w:t>
      </w:r>
      <w:proofErr w:type="spellStart"/>
      <w:r w:rsidRPr="009353F3">
        <w:t>multi-tenant</w:t>
      </w:r>
      <w:proofErr w:type="spellEnd"/>
      <w:r w:rsidRPr="009353F3">
        <w:t xml:space="preserve"> ou grandes organizações onde parceiros estratégicos precisam de acesso de nível de funcionário aos recursos. Esse status garante acesso de nível de membro, o que tipicamente significa permissões mais amplas no diretório do que um Convidado.</w:t>
      </w:r>
    </w:p>
    <w:p w14:paraId="4D08DCFD" w14:textId="77777777" w:rsidR="009353F3" w:rsidRPr="009353F3" w:rsidRDefault="009353F3" w:rsidP="009353F3">
      <w:r w:rsidRPr="009353F3">
        <w:t>A decisão de elevar um usuário B2B para o tipo Membro exige uma avaliação rigorosa das políticas de Acesso Condicional e da governança de permissões, pois implica um maior nível de confiança e acesso.</w:t>
      </w:r>
    </w:p>
    <w:p w14:paraId="6812BBBC" w14:textId="77777777" w:rsidR="009353F3" w:rsidRPr="009353F3" w:rsidRDefault="009353F3" w:rsidP="009353F3">
      <w:pPr>
        <w:rPr>
          <w:b/>
          <w:bCs/>
        </w:rPr>
      </w:pPr>
      <w:r w:rsidRPr="009353F3">
        <w:rPr>
          <w:b/>
          <w:bCs/>
        </w:rPr>
        <w:t>Status e Conversão</w:t>
      </w:r>
    </w:p>
    <w:p w14:paraId="31B915BB" w14:textId="3D1B0140" w:rsidR="009353F3" w:rsidRPr="009353F3" w:rsidRDefault="009353F3" w:rsidP="009353F3">
      <w:r w:rsidRPr="009353F3">
        <w:t xml:space="preserve">A seção </w:t>
      </w:r>
      <w:r w:rsidRPr="009353F3">
        <w:rPr>
          <w:b/>
          <w:bCs/>
        </w:rPr>
        <w:t>Colaboração B2B</w:t>
      </w:r>
      <w:r w:rsidRPr="009353F3">
        <w:t xml:space="preserve"> na </w:t>
      </w:r>
      <w:r w:rsidR="00E74CF3">
        <w:t>Figura</w:t>
      </w:r>
      <w:r w:rsidRPr="009353F3">
        <w:t xml:space="preserve"> 7 oferece a opção </w:t>
      </w:r>
      <w:proofErr w:type="gramStart"/>
      <w:r w:rsidRPr="009353F3">
        <w:t xml:space="preserve">de </w:t>
      </w:r>
      <w:r w:rsidRPr="009353F3">
        <w:rPr>
          <w:b/>
          <w:bCs/>
        </w:rPr>
        <w:t>Converter</w:t>
      </w:r>
      <w:proofErr w:type="gramEnd"/>
      <w:r w:rsidRPr="009353F3">
        <w:rPr>
          <w:b/>
          <w:bCs/>
        </w:rPr>
        <w:t xml:space="preserve"> para usuário interno</w:t>
      </w:r>
      <w:r w:rsidRPr="009353F3">
        <w:t xml:space="preserve">. Esta funcionalidade é crucial para o ciclo de vida da identidade. Se o administrador optar pela conversão, a identidade deixaria de ser gerenciada pelo B2B, o marcador #EXT# seria removido, e o </w:t>
      </w:r>
      <w:proofErr w:type="spellStart"/>
      <w:r w:rsidRPr="009353F3">
        <w:t>tenant</w:t>
      </w:r>
      <w:proofErr w:type="spellEnd"/>
      <w:r w:rsidRPr="009353F3">
        <w:t xml:space="preserve"> hospedeiro assumiria a responsabilidade total pelas credenciais (por exemplo, SSPR e expiração de senha). Manter o status B2B (</w:t>
      </w:r>
      <w:proofErr w:type="spellStart"/>
      <w:r w:rsidRPr="009353F3">
        <w:t>External</w:t>
      </w:r>
      <w:proofErr w:type="spellEnd"/>
      <w:r w:rsidRPr="009353F3">
        <w:t xml:space="preserve"> </w:t>
      </w:r>
      <w:proofErr w:type="spellStart"/>
      <w:r w:rsidRPr="009353F3">
        <w:t>Member</w:t>
      </w:r>
      <w:proofErr w:type="spellEnd"/>
      <w:r w:rsidRPr="009353F3">
        <w:t xml:space="preserve">) permite que o usuário utilize suas próprias credenciais externas, minimizando a sobrecarga administrativa para o </w:t>
      </w:r>
      <w:proofErr w:type="spellStart"/>
      <w:r w:rsidRPr="009353F3">
        <w:t>tenant</w:t>
      </w:r>
      <w:proofErr w:type="spellEnd"/>
      <w:r w:rsidRPr="009353F3">
        <w:t>.</w:t>
      </w:r>
    </w:p>
    <w:p w14:paraId="24837922" w14:textId="77777777" w:rsidR="009353F3" w:rsidRPr="009353F3" w:rsidRDefault="009353F3" w:rsidP="009353F3">
      <w:pPr>
        <w:rPr>
          <w:b/>
          <w:bCs/>
        </w:rPr>
      </w:pPr>
      <w:r w:rsidRPr="009353F3">
        <w:rPr>
          <w:b/>
          <w:bCs/>
        </w:rPr>
        <w:t>Capítulo 3: Arquitetura de Identidade Híbrida (Microsoft Entra Connect e Cloud Sync)</w:t>
      </w:r>
    </w:p>
    <w:p w14:paraId="62CACACA" w14:textId="3862F117" w:rsidR="009353F3" w:rsidRPr="009353F3" w:rsidRDefault="009353F3" w:rsidP="009353F3">
      <w:r w:rsidRPr="009353F3">
        <w:t xml:space="preserve">A Identidade Híbrida permite que as organizações estendam suas identidades locais do Active </w:t>
      </w:r>
      <w:proofErr w:type="spellStart"/>
      <w:r w:rsidRPr="009353F3">
        <w:t>Directory</w:t>
      </w:r>
      <w:proofErr w:type="spellEnd"/>
      <w:r w:rsidRPr="009353F3">
        <w:t xml:space="preserve"> (AD) para o Microsoft Entra ID na nuvem, garantindo uma experiência de usuário unificada para acesso a recursos locais e na nuvem. A </w:t>
      </w:r>
      <w:r w:rsidR="00E74CF3">
        <w:t>Figura</w:t>
      </w:r>
      <w:r w:rsidRPr="009353F3">
        <w:t xml:space="preserve"> 8 apresenta a introdução ao </w:t>
      </w:r>
      <w:r w:rsidRPr="009353F3">
        <w:rPr>
          <w:b/>
          <w:bCs/>
        </w:rPr>
        <w:t>Microsoft Entra Connect</w:t>
      </w:r>
      <w:r w:rsidRPr="009353F3">
        <w:t>, o conjunto de ferramentas dedicadas a essa sincronização.</w:t>
      </w:r>
    </w:p>
    <w:p w14:paraId="18D2A57D" w14:textId="77777777" w:rsidR="009353F3" w:rsidRPr="009353F3" w:rsidRDefault="009353F3" w:rsidP="009353F3">
      <w:pPr>
        <w:rPr>
          <w:b/>
          <w:bCs/>
        </w:rPr>
      </w:pPr>
      <w:r w:rsidRPr="009353F3">
        <w:rPr>
          <w:b/>
          <w:bCs/>
        </w:rPr>
        <w:t>3.1. Introdução e A Evolução da Sincronização (Imagem 8)</w:t>
      </w:r>
    </w:p>
    <w:p w14:paraId="64237AC9" w14:textId="77777777" w:rsidR="009353F3" w:rsidRPr="009353F3" w:rsidRDefault="009353F3" w:rsidP="009353F3">
      <w:r w:rsidRPr="009353F3">
        <w:lastRenderedPageBreak/>
        <w:t xml:space="preserve">O Microsoft Entra Connect visa fornecer uma identidade de usuário única para autenticação e autorização em toda a nuvem híbrida. Historicamente, essa função era dominada pelo </w:t>
      </w:r>
      <w:r w:rsidRPr="009353F3">
        <w:rPr>
          <w:b/>
          <w:bCs/>
        </w:rPr>
        <w:t>Connect Sync</w:t>
      </w:r>
      <w:r w:rsidRPr="009353F3">
        <w:t xml:space="preserve"> (também conhecido como Azure AD Connect), que exigia uma infraestrutura local mais robusta.</w:t>
      </w:r>
    </w:p>
    <w:p w14:paraId="402A4AB6" w14:textId="39D70820" w:rsidR="009353F3" w:rsidRPr="009353F3" w:rsidRDefault="009353F3" w:rsidP="009353F3">
      <w:r w:rsidRPr="009353F3">
        <w:t xml:space="preserve">A documentação e a estratégia da Microsoft indicam claramente que o </w:t>
      </w:r>
      <w:r w:rsidRPr="009353F3">
        <w:rPr>
          <w:b/>
          <w:bCs/>
        </w:rPr>
        <w:t>Microsoft Entra Cloud Sync</w:t>
      </w:r>
      <w:r w:rsidRPr="009353F3">
        <w:t xml:space="preserve"> é o futuro da sincronização de diretórios. A Microsoft está priorizando novos recursos de sincronização neste novo cliente, incentivando os clientes a migrarem para o Cloud Sync para evitar futuras complexidades.</w:t>
      </w:r>
    </w:p>
    <w:p w14:paraId="3180EBDB" w14:textId="77777777" w:rsidR="009353F3" w:rsidRPr="009353F3" w:rsidRDefault="009353F3" w:rsidP="009353F3">
      <w:pPr>
        <w:rPr>
          <w:b/>
          <w:bCs/>
        </w:rPr>
      </w:pPr>
      <w:r w:rsidRPr="009353F3">
        <w:rPr>
          <w:b/>
          <w:bCs/>
        </w:rPr>
        <w:t>3.2. Comparativo Funcional: Connect Sync vs. Cloud Sync</w:t>
      </w:r>
    </w:p>
    <w:p w14:paraId="39E4EBD4" w14:textId="77777777" w:rsidR="009353F3" w:rsidRPr="009353F3" w:rsidRDefault="009353F3" w:rsidP="009353F3">
      <w:r w:rsidRPr="009353F3">
        <w:t xml:space="preserve">O Cloud Sync opera a partir da nuvem com um agente leve, simplificando a arquitetura de sincronização. Isso representa uma mudança significativa, especialmente para organizações com ambientes complexos de Active </w:t>
      </w:r>
      <w:proofErr w:type="spellStart"/>
      <w:r w:rsidRPr="009353F3">
        <w:t>Directory</w:t>
      </w:r>
      <w:proofErr w:type="spellEnd"/>
      <w:r w:rsidRPr="009353F3">
        <w:t>.</w:t>
      </w:r>
    </w:p>
    <w:p w14:paraId="1E37F17E" w14:textId="77777777" w:rsidR="009353F3" w:rsidRPr="009353F3" w:rsidRDefault="009353F3" w:rsidP="009353F3">
      <w:pPr>
        <w:rPr>
          <w:b/>
          <w:bCs/>
        </w:rPr>
      </w:pPr>
      <w:proofErr w:type="spellStart"/>
      <w:r w:rsidRPr="009353F3">
        <w:rPr>
          <w:b/>
          <w:bCs/>
        </w:rPr>
        <w:t>Table</w:t>
      </w:r>
      <w:proofErr w:type="spellEnd"/>
      <w:r w:rsidRPr="009353F3">
        <w:rPr>
          <w:b/>
          <w:bCs/>
        </w:rPr>
        <w:t xml:space="preserve"> 3.1: Comparativo entre Microsoft Entra Connect Sync e Cloud Sync</w:t>
      </w:r>
    </w:p>
    <w:tbl>
      <w:tblPr>
        <w:tblW w:w="0" w:type="auto"/>
        <w:tblCellSpacing w:w="15" w:type="dxa"/>
        <w:tblCellMar>
          <w:left w:w="0" w:type="dxa"/>
          <w:right w:w="0" w:type="dxa"/>
        </w:tblCellMar>
        <w:tblLook w:val="04A0" w:firstRow="1" w:lastRow="0" w:firstColumn="1" w:lastColumn="0" w:noHBand="0" w:noVBand="1"/>
      </w:tblPr>
      <w:tblGrid>
        <w:gridCol w:w="2598"/>
        <w:gridCol w:w="2064"/>
        <w:gridCol w:w="2425"/>
        <w:gridCol w:w="1401"/>
      </w:tblGrid>
      <w:tr w:rsidR="009353F3" w:rsidRPr="009353F3" w14:paraId="718FBB9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384191" w14:textId="77777777" w:rsidR="009353F3" w:rsidRPr="009353F3" w:rsidRDefault="009353F3" w:rsidP="009353F3">
            <w:r w:rsidRPr="009353F3">
              <w:rPr>
                <w:b/>
                <w:bCs/>
              </w:rPr>
              <w:t>Funcionalidade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384CDE" w14:textId="77777777" w:rsidR="009353F3" w:rsidRPr="009353F3" w:rsidRDefault="009353F3" w:rsidP="009353F3">
            <w:r w:rsidRPr="009353F3">
              <w:rPr>
                <w:b/>
                <w:bCs/>
              </w:rPr>
              <w:t>Connect Sync (Legado)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9976D" w14:textId="77777777" w:rsidR="009353F3" w:rsidRPr="009353F3" w:rsidRDefault="009353F3" w:rsidP="009353F3">
            <w:r w:rsidRPr="009353F3">
              <w:rPr>
                <w:b/>
                <w:bCs/>
              </w:rPr>
              <w:t>Cloud Sync (Recomendado)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62DB9C" w14:textId="77777777" w:rsidR="009353F3" w:rsidRPr="009353F3" w:rsidRDefault="009353F3" w:rsidP="009353F3">
            <w:r w:rsidRPr="009353F3">
              <w:rPr>
                <w:b/>
                <w:bCs/>
              </w:rPr>
              <w:t>Referência</w:t>
            </w:r>
          </w:p>
        </w:tc>
      </w:tr>
      <w:tr w:rsidR="009353F3" w:rsidRPr="009353F3" w14:paraId="6BAA018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1B744E" w14:textId="77777777" w:rsidR="009353F3" w:rsidRPr="009353F3" w:rsidRDefault="009353F3" w:rsidP="009353F3">
            <w:r w:rsidRPr="009353F3">
              <w:t>Modelo de Agente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49AAE0" w14:textId="77777777" w:rsidR="009353F3" w:rsidRPr="009353F3" w:rsidRDefault="009353F3" w:rsidP="009353F3">
            <w:r w:rsidRPr="009353F3">
              <w:t>Tradicional, instalação complexa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2D4BB6" w14:textId="77777777" w:rsidR="009353F3" w:rsidRPr="009353F3" w:rsidRDefault="009353F3" w:rsidP="009353F3">
            <w:r w:rsidRPr="009353F3">
              <w:t>Agente leve, gerenciado na Nuvem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BE5404" w14:textId="77777777" w:rsidR="009353F3" w:rsidRPr="009353F3" w:rsidRDefault="009353F3" w:rsidP="009353F3">
            <w:r w:rsidRPr="009353F3">
              <w:t>[10]</w:t>
            </w:r>
          </w:p>
        </w:tc>
      </w:tr>
      <w:tr w:rsidR="009353F3" w:rsidRPr="009353F3" w14:paraId="2B9781B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A9833" w14:textId="77777777" w:rsidR="009353F3" w:rsidRPr="009353F3" w:rsidRDefault="009353F3" w:rsidP="009353F3">
            <w:r w:rsidRPr="009353F3">
              <w:t>Múltiplas Florestas AD Desconectadas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7DC0DB" w14:textId="77777777" w:rsidR="009353F3" w:rsidRPr="009353F3" w:rsidRDefault="009353F3" w:rsidP="009353F3">
            <w:r w:rsidRPr="009353F3">
              <w:t>Não suportado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5C73CA" w14:textId="77777777" w:rsidR="009353F3" w:rsidRPr="009353F3" w:rsidRDefault="009353F3" w:rsidP="009353F3">
            <w:r w:rsidRPr="009353F3">
              <w:t>Suportado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D2EB3D" w14:textId="77777777" w:rsidR="009353F3" w:rsidRPr="009353F3" w:rsidRDefault="009353F3" w:rsidP="009353F3">
            <w:r w:rsidRPr="009353F3">
              <w:t>[10]</w:t>
            </w:r>
          </w:p>
        </w:tc>
      </w:tr>
      <w:tr w:rsidR="009353F3" w:rsidRPr="009353F3" w14:paraId="3125F5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81B60" w14:textId="77777777" w:rsidR="009353F3" w:rsidRPr="009353F3" w:rsidRDefault="009353F3" w:rsidP="009353F3">
            <w:r w:rsidRPr="009353F3">
              <w:t>Múltiplas Florestas AD Conectadas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1F202B" w14:textId="77777777" w:rsidR="009353F3" w:rsidRPr="009353F3" w:rsidRDefault="009353F3" w:rsidP="009353F3">
            <w:r w:rsidRPr="009353F3">
              <w:t>Suportado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1F9D8" w14:textId="77777777" w:rsidR="009353F3" w:rsidRPr="009353F3" w:rsidRDefault="009353F3" w:rsidP="009353F3">
            <w:r w:rsidRPr="009353F3">
              <w:t>Suportado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AC6B5" w14:textId="77777777" w:rsidR="009353F3" w:rsidRPr="009353F3" w:rsidRDefault="009353F3" w:rsidP="009353F3">
            <w:r w:rsidRPr="009353F3">
              <w:t>[10]</w:t>
            </w:r>
          </w:p>
        </w:tc>
      </w:tr>
      <w:tr w:rsidR="009353F3" w:rsidRPr="009353F3" w14:paraId="55C470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492BEA" w14:textId="77777777" w:rsidR="009353F3" w:rsidRPr="009353F3" w:rsidRDefault="009353F3" w:rsidP="009353F3">
            <w:r w:rsidRPr="009353F3">
              <w:t>Gravação de Senha (</w:t>
            </w:r>
            <w:proofErr w:type="spellStart"/>
            <w:r w:rsidRPr="009353F3">
              <w:t>Password</w:t>
            </w:r>
            <w:proofErr w:type="spellEnd"/>
            <w:r w:rsidRPr="009353F3">
              <w:t xml:space="preserve"> </w:t>
            </w:r>
            <w:proofErr w:type="spellStart"/>
            <w:r w:rsidRPr="009353F3">
              <w:t>Writeback</w:t>
            </w:r>
            <w:proofErr w:type="spellEnd"/>
            <w:r w:rsidRPr="009353F3">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266AC0" w14:textId="77777777" w:rsidR="009353F3" w:rsidRPr="009353F3" w:rsidRDefault="009353F3" w:rsidP="009353F3">
            <w:r w:rsidRPr="009353F3">
              <w:t>Suportado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A312D" w14:textId="77777777" w:rsidR="009353F3" w:rsidRPr="009353F3" w:rsidRDefault="009353F3" w:rsidP="009353F3">
            <w:r w:rsidRPr="009353F3">
              <w:t>Suportado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9D54A0" w14:textId="77777777" w:rsidR="009353F3" w:rsidRPr="009353F3" w:rsidRDefault="009353F3" w:rsidP="009353F3">
            <w:r w:rsidRPr="009353F3">
              <w:t>[10]</w:t>
            </w:r>
          </w:p>
        </w:tc>
      </w:tr>
      <w:tr w:rsidR="009353F3" w:rsidRPr="009353F3" w14:paraId="37B571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405B9" w14:textId="77777777" w:rsidR="009353F3" w:rsidRPr="009353F3" w:rsidRDefault="009353F3" w:rsidP="009353F3">
            <w:r w:rsidRPr="009353F3">
              <w:t>Customização Avançada de Atributos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C78BA" w14:textId="77777777" w:rsidR="009353F3" w:rsidRPr="009353F3" w:rsidRDefault="009353F3" w:rsidP="009353F3">
            <w:r w:rsidRPr="009353F3">
              <w:t>Suportado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04E6A" w14:textId="77777777" w:rsidR="009353F3" w:rsidRPr="009353F3" w:rsidRDefault="009353F3" w:rsidP="009353F3">
            <w:r w:rsidRPr="009353F3">
              <w:t xml:space="preserve">Não suportado (foco em </w:t>
            </w:r>
            <w:proofErr w:type="spellStart"/>
            <w:r w:rsidRPr="009353F3">
              <w:t>MinSync</w:t>
            </w:r>
            <w:proofErr w:type="spellEnd"/>
            <w:r w:rsidRPr="009353F3">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BCFFFD" w14:textId="77777777" w:rsidR="009353F3" w:rsidRPr="009353F3" w:rsidRDefault="009353F3" w:rsidP="009353F3">
            <w:r w:rsidRPr="009353F3">
              <w:t>[10]</w:t>
            </w:r>
          </w:p>
        </w:tc>
      </w:tr>
    </w:tbl>
    <w:p w14:paraId="46D7528A" w14:textId="77777777" w:rsidR="009353F3" w:rsidRPr="009353F3" w:rsidRDefault="009353F3" w:rsidP="009353F3">
      <w:r w:rsidRPr="009353F3">
        <w:t xml:space="preserve">A capacidade do Cloud Sync de se conectar a </w:t>
      </w:r>
      <w:r w:rsidRPr="009353F3">
        <w:rPr>
          <w:b/>
          <w:bCs/>
        </w:rPr>
        <w:t>múltiplas florestas AD locais desconectadas</w:t>
      </w:r>
      <w:r w:rsidRPr="009353F3">
        <w:t xml:space="preserve"> é uma vantagem arquitetônica fundamental. Em cenários de Fusões e Aquisições (M&amp;A), onde florestas AD isoladas são comuns, o Cloud Sync simplifica drasticamente a integração de identidades. Isso elimina a necessidade de estabelecer complexas relações de Confiança (Trust) entre florestas, que eram frequentemente necessárias no Connect Sync tradicional, reduzindo o tempo e a complexidade da integração pós-aquisição.</w:t>
      </w:r>
    </w:p>
    <w:p w14:paraId="4D865DA9" w14:textId="77777777" w:rsidR="009353F3" w:rsidRPr="009353F3" w:rsidRDefault="009353F3" w:rsidP="009353F3">
      <w:pPr>
        <w:rPr>
          <w:b/>
          <w:bCs/>
        </w:rPr>
      </w:pPr>
      <w:r w:rsidRPr="009353F3">
        <w:rPr>
          <w:b/>
          <w:bCs/>
        </w:rPr>
        <w:t xml:space="preserve">3.3. Nota de Depreciação: Módulos </w:t>
      </w:r>
      <w:proofErr w:type="spellStart"/>
      <w:r w:rsidRPr="009353F3">
        <w:rPr>
          <w:b/>
          <w:bCs/>
        </w:rPr>
        <w:t>PowerShell</w:t>
      </w:r>
      <w:proofErr w:type="spellEnd"/>
      <w:r w:rsidRPr="009353F3">
        <w:rPr>
          <w:b/>
          <w:bCs/>
        </w:rPr>
        <w:t xml:space="preserve"> Legados</w:t>
      </w:r>
    </w:p>
    <w:p w14:paraId="36C3FAF4" w14:textId="77777777" w:rsidR="009353F3" w:rsidRPr="009353F3" w:rsidRDefault="009353F3" w:rsidP="009353F3">
      <w:r w:rsidRPr="009353F3">
        <w:lastRenderedPageBreak/>
        <w:t xml:space="preserve">Em linha com a modernização das ferramentas de identidade, os administradores devem estar cientes da depreciação dos módulos </w:t>
      </w:r>
      <w:proofErr w:type="spellStart"/>
      <w:r w:rsidRPr="009353F3">
        <w:t>PowerShell</w:t>
      </w:r>
      <w:proofErr w:type="spellEnd"/>
      <w:r w:rsidRPr="009353F3">
        <w:t xml:space="preserve"> antigos (</w:t>
      </w:r>
      <w:proofErr w:type="spellStart"/>
      <w:r w:rsidRPr="009353F3">
        <w:t>AzureAD</w:t>
      </w:r>
      <w:proofErr w:type="spellEnd"/>
      <w:r w:rsidRPr="009353F3">
        <w:t xml:space="preserve"> e </w:t>
      </w:r>
      <w:proofErr w:type="spellStart"/>
      <w:r w:rsidRPr="009353F3">
        <w:t>MSOnline</w:t>
      </w:r>
      <w:proofErr w:type="spellEnd"/>
      <w:r w:rsidRPr="009353F3">
        <w:t>).</w:t>
      </w:r>
    </w:p>
    <w:p w14:paraId="177F4553" w14:textId="0FFA1B88" w:rsidR="009353F3" w:rsidRPr="009353F3" w:rsidRDefault="009353F3" w:rsidP="009353F3">
      <w:r w:rsidRPr="009353F3">
        <w:t xml:space="preserve">Os módulos foram depreciados em 30 de março de 2024 e o suporte para eles está limitado à assistência de migração e correções de segurança. Eles continuarão a funcionar apenas até </w:t>
      </w:r>
      <w:r w:rsidRPr="009353F3">
        <w:rPr>
          <w:b/>
          <w:bCs/>
        </w:rPr>
        <w:t>30 de março de 2025</w:t>
      </w:r>
      <w:r w:rsidRPr="009353F3">
        <w:t>.</w:t>
      </w:r>
    </w:p>
    <w:p w14:paraId="08933D19" w14:textId="55E4D4D1" w:rsidR="009353F3" w:rsidRPr="009353F3" w:rsidRDefault="009353F3" w:rsidP="009353F3">
      <w:r w:rsidRPr="009353F3">
        <w:t xml:space="preserve">A Microsoft exige que todos os scripts de automação e tarefas administrativas sejam migrados para o </w:t>
      </w:r>
      <w:r w:rsidRPr="009353F3">
        <w:rPr>
          <w:b/>
          <w:bCs/>
        </w:rPr>
        <w:t xml:space="preserve">Microsoft </w:t>
      </w:r>
      <w:proofErr w:type="spellStart"/>
      <w:r w:rsidRPr="009353F3">
        <w:rPr>
          <w:b/>
          <w:bCs/>
        </w:rPr>
        <w:t>Graph</w:t>
      </w:r>
      <w:proofErr w:type="spellEnd"/>
      <w:r w:rsidRPr="009353F3">
        <w:rPr>
          <w:b/>
          <w:bCs/>
        </w:rPr>
        <w:t xml:space="preserve"> </w:t>
      </w:r>
      <w:proofErr w:type="spellStart"/>
      <w:r w:rsidRPr="009353F3">
        <w:rPr>
          <w:b/>
          <w:bCs/>
        </w:rPr>
        <w:t>PowerShell</w:t>
      </w:r>
      <w:proofErr w:type="spellEnd"/>
      <w:r w:rsidRPr="009353F3">
        <w:rPr>
          <w:b/>
          <w:bCs/>
        </w:rPr>
        <w:t xml:space="preserve"> SDK</w:t>
      </w:r>
      <w:r w:rsidRPr="009353F3">
        <w:t>. Os administradores devem planejar essa migração imediatamente, pois há períodos de interrupção de serviço previstos (testes de desativação) em fevereiro e março de 2025 como preparação final para a aposentadoria total.</w:t>
      </w:r>
    </w:p>
    <w:p w14:paraId="139BA78D" w14:textId="77777777" w:rsidR="009353F3" w:rsidRPr="009353F3" w:rsidRDefault="009353F3" w:rsidP="009353F3">
      <w:pPr>
        <w:rPr>
          <w:b/>
          <w:bCs/>
        </w:rPr>
      </w:pPr>
      <w:r w:rsidRPr="009353F3">
        <w:rPr>
          <w:b/>
          <w:bCs/>
        </w:rPr>
        <w:t>Capítulo 4: Controle de Acesso Baseado em Função (RBAC) no Azure</w:t>
      </w:r>
    </w:p>
    <w:p w14:paraId="557779EE" w14:textId="0D81C61B" w:rsidR="009353F3" w:rsidRPr="009353F3" w:rsidRDefault="009353F3" w:rsidP="009353F3">
      <w:r w:rsidRPr="009353F3">
        <w:t xml:space="preserve">Diferentemente das identidades (Microsoft Entra ID), o acesso a recursos do Azure (como máquinas virtuais, bancos de dados ou Grupos de Recursos) é gerenciado pelo </w:t>
      </w:r>
      <w:r w:rsidRPr="009353F3">
        <w:rPr>
          <w:b/>
          <w:bCs/>
        </w:rPr>
        <w:t>Azure Controle de Acesso Baseado em Função (RBAC)</w:t>
      </w:r>
      <w:r w:rsidRPr="009353F3">
        <w:t xml:space="preserve">, um sistema de autorização construído sobre o Azure </w:t>
      </w:r>
      <w:proofErr w:type="spellStart"/>
      <w:r w:rsidRPr="009353F3">
        <w:t>Resource</w:t>
      </w:r>
      <w:proofErr w:type="spellEnd"/>
      <w:r w:rsidRPr="009353F3">
        <w:t xml:space="preserve"> </w:t>
      </w:r>
      <w:proofErr w:type="gramStart"/>
      <w:r w:rsidRPr="009353F3">
        <w:t>Manager .</w:t>
      </w:r>
      <w:proofErr w:type="gramEnd"/>
      <w:r w:rsidRPr="009353F3">
        <w:t xml:space="preserve"> As </w:t>
      </w:r>
      <w:r w:rsidR="00E74CF3">
        <w:t>Figuras</w:t>
      </w:r>
      <w:r w:rsidRPr="009353F3">
        <w:t xml:space="preserve"> 9 e 10 demonstram a interface IAM (</w:t>
      </w:r>
      <w:proofErr w:type="spellStart"/>
      <w:r w:rsidRPr="009353F3">
        <w:t>Identity</w:t>
      </w:r>
      <w:proofErr w:type="spellEnd"/>
      <w:r w:rsidRPr="009353F3">
        <w:t xml:space="preserve"> </w:t>
      </w:r>
      <w:proofErr w:type="spellStart"/>
      <w:r w:rsidRPr="009353F3">
        <w:t>and</w:t>
      </w:r>
      <w:proofErr w:type="spellEnd"/>
      <w:r w:rsidRPr="009353F3">
        <w:t xml:space="preserve"> Access Management) aplicada a um Grupo de Recursos (AZ900-DIO).</w:t>
      </w:r>
    </w:p>
    <w:p w14:paraId="638D71A8" w14:textId="77777777" w:rsidR="009353F3" w:rsidRPr="009353F3" w:rsidRDefault="009353F3" w:rsidP="009353F3">
      <w:pPr>
        <w:rPr>
          <w:b/>
          <w:bCs/>
        </w:rPr>
      </w:pPr>
      <w:r w:rsidRPr="009353F3">
        <w:rPr>
          <w:b/>
          <w:bCs/>
        </w:rPr>
        <w:t>4.1. Conceitos Fundamentais do Azure RBAC (Imagem 9)</w:t>
      </w:r>
    </w:p>
    <w:p w14:paraId="444E1DD6" w14:textId="5415B064" w:rsidR="009353F3" w:rsidRPr="009353F3" w:rsidRDefault="009353F3" w:rsidP="009353F3">
      <w:r w:rsidRPr="009353F3">
        <w:t xml:space="preserve">O Azure RBAC é o método para conceder acesso granular a recursos. Uma atribuição de função (Role </w:t>
      </w:r>
      <w:proofErr w:type="spellStart"/>
      <w:r w:rsidRPr="009353F3">
        <w:t>Assignment</w:t>
      </w:r>
      <w:proofErr w:type="spellEnd"/>
      <w:r w:rsidRPr="009353F3">
        <w:t>), que é como as permissões são aplicadas, é composta por três elementos essenciais:</w:t>
      </w:r>
    </w:p>
    <w:p w14:paraId="03DB727D" w14:textId="77777777" w:rsidR="009353F3" w:rsidRPr="009353F3" w:rsidRDefault="009353F3" w:rsidP="009353F3">
      <w:pPr>
        <w:numPr>
          <w:ilvl w:val="0"/>
          <w:numId w:val="5"/>
        </w:numPr>
      </w:pPr>
      <w:r w:rsidRPr="009353F3">
        <w:rPr>
          <w:b/>
          <w:bCs/>
        </w:rPr>
        <w:t>Principal de Segurança:</w:t>
      </w:r>
      <w:r w:rsidRPr="009353F3">
        <w:t xml:space="preserve"> A entidade que está sendo concedida acesso (usuário, grupo, entidade de serviço ou identidade gerenciada).</w:t>
      </w:r>
    </w:p>
    <w:p w14:paraId="14C3CD6D" w14:textId="523181B7" w:rsidR="009353F3" w:rsidRPr="009353F3" w:rsidRDefault="009353F3" w:rsidP="009353F3">
      <w:pPr>
        <w:numPr>
          <w:ilvl w:val="0"/>
          <w:numId w:val="5"/>
        </w:numPr>
      </w:pPr>
      <w:r w:rsidRPr="009353F3">
        <w:rPr>
          <w:b/>
          <w:bCs/>
        </w:rPr>
        <w:t>Definição de Função:</w:t>
      </w:r>
      <w:r w:rsidRPr="009353F3">
        <w:t xml:space="preserve"> O conjunto de permissões (ações permitidas/negadas, como Leitor, Contribuidor ou Proprietário).</w:t>
      </w:r>
    </w:p>
    <w:p w14:paraId="36AC81ED" w14:textId="77777777" w:rsidR="009353F3" w:rsidRPr="009353F3" w:rsidRDefault="009353F3" w:rsidP="009353F3">
      <w:pPr>
        <w:numPr>
          <w:ilvl w:val="0"/>
          <w:numId w:val="5"/>
        </w:numPr>
      </w:pPr>
      <w:r w:rsidRPr="009353F3">
        <w:rPr>
          <w:b/>
          <w:bCs/>
        </w:rPr>
        <w:t>Escopo:</w:t>
      </w:r>
      <w:r w:rsidRPr="009353F3">
        <w:t xml:space="preserve"> O conjunto de recursos onde o acesso se aplica.</w:t>
      </w:r>
    </w:p>
    <w:p w14:paraId="130124D6" w14:textId="77777777" w:rsidR="009353F3" w:rsidRPr="009353F3" w:rsidRDefault="009353F3" w:rsidP="009353F3">
      <w:pPr>
        <w:rPr>
          <w:b/>
          <w:bCs/>
        </w:rPr>
      </w:pPr>
      <w:r w:rsidRPr="009353F3">
        <w:rPr>
          <w:b/>
          <w:bCs/>
        </w:rPr>
        <w:t>4.2. Estrutura Hierárquica e Herança de Escopo</w:t>
      </w:r>
    </w:p>
    <w:p w14:paraId="2DEEE103" w14:textId="2FBF03E8" w:rsidR="009353F3" w:rsidRPr="009353F3" w:rsidRDefault="009353F3" w:rsidP="009353F3">
      <w:r w:rsidRPr="009353F3">
        <w:t>O escopo é um conceito fundamental para o RBAC. O Azure suporta quatro níveis hierárquicos de escopo, do mais amplo para o mais específico: Grupo de Gestão, Assinatura, Grupo de Recursos e Recurso.</w:t>
      </w:r>
    </w:p>
    <w:p w14:paraId="403AFD91" w14:textId="7E6067E1" w:rsidR="009353F3" w:rsidRPr="009353F3" w:rsidRDefault="009353F3" w:rsidP="009353F3">
      <w:r w:rsidRPr="009353F3">
        <w:t xml:space="preserve">O princípio da </w:t>
      </w:r>
      <w:r w:rsidRPr="009353F3">
        <w:rPr>
          <w:b/>
          <w:bCs/>
        </w:rPr>
        <w:t>Herança de Permissões</w:t>
      </w:r>
      <w:r w:rsidRPr="009353F3">
        <w:t xml:space="preserve"> é central: uma atribuição de função concedida em um nível superior (</w:t>
      </w:r>
      <w:proofErr w:type="spellStart"/>
      <w:r w:rsidRPr="009353F3">
        <w:t>parent</w:t>
      </w:r>
      <w:proofErr w:type="spellEnd"/>
      <w:r w:rsidRPr="009353F3">
        <w:t xml:space="preserve"> </w:t>
      </w:r>
      <w:proofErr w:type="spellStart"/>
      <w:r w:rsidRPr="009353F3">
        <w:t>scope</w:t>
      </w:r>
      <w:proofErr w:type="spellEnd"/>
      <w:r w:rsidRPr="009353F3">
        <w:t>) é herdada por todos os níveis inferiores (</w:t>
      </w:r>
      <w:proofErr w:type="spellStart"/>
      <w:r w:rsidRPr="009353F3">
        <w:t>child</w:t>
      </w:r>
      <w:proofErr w:type="spellEnd"/>
      <w:r w:rsidRPr="009353F3">
        <w:t xml:space="preserve"> </w:t>
      </w:r>
      <w:proofErr w:type="spellStart"/>
      <w:r w:rsidRPr="009353F3">
        <w:t>scopes</w:t>
      </w:r>
      <w:proofErr w:type="spellEnd"/>
      <w:r w:rsidRPr="009353F3">
        <w:t>).</w:t>
      </w:r>
    </w:p>
    <w:p w14:paraId="321E7679" w14:textId="77777777" w:rsidR="009353F3" w:rsidRPr="009353F3" w:rsidRDefault="009353F3" w:rsidP="009353F3">
      <w:pPr>
        <w:rPr>
          <w:b/>
          <w:bCs/>
        </w:rPr>
      </w:pPr>
      <w:r w:rsidRPr="009353F3">
        <w:rPr>
          <w:b/>
          <w:bCs/>
        </w:rPr>
        <w:t>Análise de Atribuições de Função e Escopo (Imagem 10)</w:t>
      </w:r>
    </w:p>
    <w:p w14:paraId="55B3CEC8" w14:textId="7303DE2C" w:rsidR="009353F3" w:rsidRPr="009353F3" w:rsidRDefault="009353F3" w:rsidP="009353F3">
      <w:r w:rsidRPr="009353F3">
        <w:t xml:space="preserve">A </w:t>
      </w:r>
      <w:r w:rsidR="00E74CF3">
        <w:t>Figura</w:t>
      </w:r>
      <w:r w:rsidRPr="009353F3">
        <w:t xml:space="preserve"> 10, que lista as </w:t>
      </w:r>
      <w:r w:rsidRPr="009353F3">
        <w:rPr>
          <w:b/>
          <w:bCs/>
        </w:rPr>
        <w:t>Atribuições de função atuais</w:t>
      </w:r>
      <w:r w:rsidRPr="009353F3">
        <w:t xml:space="preserve"> para o Grupo de Recursos AZ900-DIO, ilustra diretamente a herança de escopo:</w:t>
      </w:r>
    </w:p>
    <w:p w14:paraId="6E10ABCA" w14:textId="4E07E019" w:rsidR="009353F3" w:rsidRPr="009353F3" w:rsidRDefault="009353F3" w:rsidP="009353F3">
      <w:pPr>
        <w:numPr>
          <w:ilvl w:val="0"/>
          <w:numId w:val="6"/>
        </w:numPr>
      </w:pPr>
      <w:r w:rsidRPr="009353F3">
        <w:rPr>
          <w:b/>
          <w:bCs/>
        </w:rPr>
        <w:t>Função Proprietário (</w:t>
      </w:r>
      <w:proofErr w:type="spellStart"/>
      <w:r w:rsidRPr="009353F3">
        <w:rPr>
          <w:b/>
          <w:bCs/>
        </w:rPr>
        <w:t>Owner</w:t>
      </w:r>
      <w:proofErr w:type="spellEnd"/>
      <w:r w:rsidRPr="009353F3">
        <w:rPr>
          <w:b/>
          <w:bCs/>
        </w:rPr>
        <w:t>):</w:t>
      </w:r>
      <w:r w:rsidRPr="009353F3">
        <w:t xml:space="preserve"> O usuário Paulo Junior possui a função </w:t>
      </w:r>
      <w:r w:rsidRPr="009353F3">
        <w:rPr>
          <w:b/>
          <w:bCs/>
        </w:rPr>
        <w:t>Proprietário</w:t>
      </w:r>
      <w:r w:rsidRPr="009353F3">
        <w:t>. Esta função é uma das mais privilegiadas, concedendo acesso total para gerenciar todos os recursos e, criticamente, a capacidade de atribuir funções RBAC a outros usuários. O escopo listado como Assinatura (Herdado) significa que essa permissão de alto nível foi definida no nível da Assinatura, o escopo pai imediato, e é automaticamente aplicada ao Grupo de Recursos AZ900-DIO e a todos os recursos dentro dele.</w:t>
      </w:r>
    </w:p>
    <w:p w14:paraId="109B5C1F" w14:textId="72429F45" w:rsidR="009353F3" w:rsidRPr="009353F3" w:rsidRDefault="009353F3" w:rsidP="009353F3">
      <w:pPr>
        <w:numPr>
          <w:ilvl w:val="0"/>
          <w:numId w:val="6"/>
        </w:numPr>
      </w:pPr>
      <w:r w:rsidRPr="009353F3">
        <w:rPr>
          <w:b/>
          <w:bCs/>
        </w:rPr>
        <w:lastRenderedPageBreak/>
        <w:t xml:space="preserve">Função Azure AI </w:t>
      </w:r>
      <w:proofErr w:type="spellStart"/>
      <w:r w:rsidRPr="009353F3">
        <w:rPr>
          <w:b/>
          <w:bCs/>
        </w:rPr>
        <w:t>User</w:t>
      </w:r>
      <w:proofErr w:type="spellEnd"/>
      <w:r w:rsidRPr="009353F3">
        <w:rPr>
          <w:b/>
          <w:bCs/>
        </w:rPr>
        <w:t>:</w:t>
      </w:r>
      <w:r w:rsidRPr="009353F3">
        <w:t xml:space="preserve"> O usuário também possui a função </w:t>
      </w:r>
      <w:r w:rsidRPr="009353F3">
        <w:rPr>
          <w:b/>
          <w:bCs/>
        </w:rPr>
        <w:t xml:space="preserve">Azure AI </w:t>
      </w:r>
      <w:proofErr w:type="spellStart"/>
      <w:r w:rsidRPr="009353F3">
        <w:rPr>
          <w:b/>
          <w:bCs/>
        </w:rPr>
        <w:t>User</w:t>
      </w:r>
      <w:proofErr w:type="spellEnd"/>
      <w:r w:rsidRPr="009353F3">
        <w:t xml:space="preserve">, tipicamente aplicada no escopo do Recurso ou, como visto, no Grupo de Recursos. Esta função </w:t>
      </w:r>
      <w:proofErr w:type="spellStart"/>
      <w:r w:rsidRPr="009353F3">
        <w:t>built</w:t>
      </w:r>
      <w:proofErr w:type="spellEnd"/>
      <w:r w:rsidRPr="009353F3">
        <w:t>-in é específica para serviços de Inteligência Artificial, concedendo acesso de leitura a projetos e contas de IA e ações de dados essenciais.</w:t>
      </w:r>
    </w:p>
    <w:p w14:paraId="3329CEEE" w14:textId="77777777" w:rsidR="009353F3" w:rsidRPr="009353F3" w:rsidRDefault="009353F3" w:rsidP="009353F3">
      <w:r w:rsidRPr="009353F3">
        <w:t xml:space="preserve">A coexistência dessas atribuições demonstra um risco de governança. A concessão do papel </w:t>
      </w:r>
      <w:r w:rsidRPr="009353F3">
        <w:rPr>
          <w:b/>
          <w:bCs/>
        </w:rPr>
        <w:t>Proprietário</w:t>
      </w:r>
      <w:r w:rsidRPr="009353F3">
        <w:t xml:space="preserve"> no escopo da Assinatura já confere ao usuário controle total sobre todos os recursos. Essa atribuição ampla torna redundante ou ineficaz a atribuição de funções mais restritas, como </w:t>
      </w:r>
      <w:r w:rsidRPr="009353F3">
        <w:rPr>
          <w:i/>
          <w:iCs/>
        </w:rPr>
        <w:t xml:space="preserve">Azure AI </w:t>
      </w:r>
      <w:proofErr w:type="spellStart"/>
      <w:r w:rsidRPr="009353F3">
        <w:rPr>
          <w:i/>
          <w:iCs/>
        </w:rPr>
        <w:t>User</w:t>
      </w:r>
      <w:proofErr w:type="spellEnd"/>
      <w:r w:rsidRPr="009353F3">
        <w:t>, no nível do Grupo de Recursos, pois o usuário já possui permissões totais herdadas do nível superior.</w:t>
      </w:r>
    </w:p>
    <w:p w14:paraId="65F446BE" w14:textId="77777777" w:rsidR="009353F3" w:rsidRPr="009353F3" w:rsidRDefault="009353F3" w:rsidP="009353F3">
      <w:pPr>
        <w:rPr>
          <w:b/>
          <w:bCs/>
        </w:rPr>
      </w:pPr>
      <w:r w:rsidRPr="009353F3">
        <w:rPr>
          <w:b/>
          <w:bCs/>
        </w:rPr>
        <w:t>4.3. Procedimentos Adicionais de Controle de Acesso</w:t>
      </w:r>
    </w:p>
    <w:p w14:paraId="674ACF65" w14:textId="020E73B6" w:rsidR="009353F3" w:rsidRPr="009353F3" w:rsidRDefault="009353F3" w:rsidP="009353F3">
      <w:proofErr w:type="gramStart"/>
      <w:r w:rsidRPr="009353F3">
        <w:t>O painel IAM</w:t>
      </w:r>
      <w:proofErr w:type="gramEnd"/>
      <w:r w:rsidRPr="009353F3">
        <w:t xml:space="preserve"> (</w:t>
      </w:r>
      <w:r w:rsidR="00E74CF3">
        <w:t xml:space="preserve">Figura </w:t>
      </w:r>
      <w:r w:rsidRPr="009353F3">
        <w:t>9) fornece ferramentas essenciais para manter a postura de segurança:</w:t>
      </w:r>
    </w:p>
    <w:p w14:paraId="3C0356DE" w14:textId="6DB04A3F" w:rsidR="009353F3" w:rsidRPr="009353F3" w:rsidRDefault="009353F3" w:rsidP="009353F3">
      <w:pPr>
        <w:numPr>
          <w:ilvl w:val="0"/>
          <w:numId w:val="7"/>
        </w:numPr>
      </w:pPr>
      <w:r w:rsidRPr="009353F3">
        <w:rPr>
          <w:b/>
          <w:bCs/>
        </w:rPr>
        <w:t>Verificar Acesso (</w:t>
      </w:r>
      <w:proofErr w:type="spellStart"/>
      <w:r w:rsidRPr="009353F3">
        <w:rPr>
          <w:b/>
          <w:bCs/>
        </w:rPr>
        <w:t>Check</w:t>
      </w:r>
      <w:proofErr w:type="spellEnd"/>
      <w:r w:rsidRPr="009353F3">
        <w:rPr>
          <w:b/>
          <w:bCs/>
        </w:rPr>
        <w:t xml:space="preserve"> Access):</w:t>
      </w:r>
      <w:r w:rsidRPr="009353F3">
        <w:t xml:space="preserve"> Funcionalidade utilizada para auditar as permissões efetivas de um Principal de Segurança em um escopo determinado. É uma etapa crítica na solução de problemas de acesso e na garantia da conformidade com o princípio do Mínimo Privilégio.</w:t>
      </w:r>
    </w:p>
    <w:p w14:paraId="6728622E" w14:textId="4CF9229E" w:rsidR="009353F3" w:rsidRPr="009353F3" w:rsidRDefault="009353F3" w:rsidP="009353F3">
      <w:pPr>
        <w:numPr>
          <w:ilvl w:val="0"/>
          <w:numId w:val="7"/>
        </w:numPr>
      </w:pPr>
      <w:r w:rsidRPr="009353F3">
        <w:rPr>
          <w:b/>
          <w:bCs/>
        </w:rPr>
        <w:t>Adicionar Atribuição de Função:</w:t>
      </w:r>
      <w:r w:rsidRPr="009353F3">
        <w:t xml:space="preserve"> O procedimento formal para conceder acesso. Para realizar atribuições, o administrador deve possuir um papel com a permissão de escrita de atribuições de função (</w:t>
      </w:r>
      <w:proofErr w:type="spellStart"/>
      <w:r w:rsidRPr="009353F3">
        <w:t>Microsoft.Authorization</w:t>
      </w:r>
      <w:proofErr w:type="spellEnd"/>
      <w:r w:rsidRPr="009353F3">
        <w:t>/</w:t>
      </w:r>
      <w:proofErr w:type="spellStart"/>
      <w:r w:rsidRPr="009353F3">
        <w:t>roleAssignments</w:t>
      </w:r>
      <w:proofErr w:type="spellEnd"/>
      <w:r w:rsidRPr="009353F3">
        <w:t>/</w:t>
      </w:r>
      <w:proofErr w:type="spellStart"/>
      <w:r w:rsidRPr="009353F3">
        <w:t>write</w:t>
      </w:r>
      <w:proofErr w:type="spellEnd"/>
      <w:r w:rsidRPr="009353F3">
        <w:t>) no escopo relevante, como o papel Administrador de Controle de Acesso Baseado em Função.</w:t>
      </w:r>
    </w:p>
    <w:p w14:paraId="134B6F42" w14:textId="275F4E93" w:rsidR="009353F3" w:rsidRPr="009353F3" w:rsidRDefault="009353F3" w:rsidP="009353F3">
      <w:pPr>
        <w:numPr>
          <w:ilvl w:val="0"/>
          <w:numId w:val="7"/>
        </w:numPr>
      </w:pPr>
      <w:r w:rsidRPr="009353F3">
        <w:rPr>
          <w:b/>
          <w:bCs/>
        </w:rPr>
        <w:t xml:space="preserve">Atribuições de Negação (Deny </w:t>
      </w:r>
      <w:proofErr w:type="spellStart"/>
      <w:r w:rsidRPr="009353F3">
        <w:rPr>
          <w:b/>
          <w:bCs/>
        </w:rPr>
        <w:t>Assignments</w:t>
      </w:r>
      <w:proofErr w:type="spellEnd"/>
      <w:r w:rsidRPr="009353F3">
        <w:rPr>
          <w:b/>
          <w:bCs/>
        </w:rPr>
        <w:t>):</w:t>
      </w:r>
      <w:r w:rsidRPr="009353F3">
        <w:t xml:space="preserve"> Permitem que o administrador defina explicitamente que um Principal de Segurança está proibido de executar certas ações, mesmo que uma Atribuição de Função posterior lhe conceda permissão. As negações sempre têm precedência sobre as permissões.</w:t>
      </w:r>
    </w:p>
    <w:p w14:paraId="4FF7E3B5" w14:textId="1EB765CB" w:rsidR="009353F3" w:rsidRPr="009353F3" w:rsidRDefault="009353F3" w:rsidP="009353F3">
      <w:pPr>
        <w:numPr>
          <w:ilvl w:val="0"/>
          <w:numId w:val="7"/>
        </w:numPr>
      </w:pPr>
      <w:r w:rsidRPr="009353F3">
        <w:rPr>
          <w:b/>
          <w:bCs/>
        </w:rPr>
        <w:t>Função Personalizada (Custom Role):</w:t>
      </w:r>
      <w:r w:rsidRPr="009353F3">
        <w:t xml:space="preserve"> Usada quando as funções </w:t>
      </w:r>
      <w:proofErr w:type="spellStart"/>
      <w:r w:rsidRPr="009353F3">
        <w:t>built</w:t>
      </w:r>
      <w:proofErr w:type="spellEnd"/>
      <w:r w:rsidRPr="009353F3">
        <w:t>-in (como Proprietário ou Contribuidor) não atendem aos requisitos específicos de acesso de uma organização. Permite a criação de uma coleção de permissões altamente específicas.</w:t>
      </w:r>
    </w:p>
    <w:p w14:paraId="73E78173" w14:textId="77777777" w:rsidR="009353F3" w:rsidRPr="009353F3" w:rsidRDefault="009353F3" w:rsidP="009353F3">
      <w:pPr>
        <w:rPr>
          <w:b/>
          <w:bCs/>
        </w:rPr>
      </w:pPr>
      <w:r w:rsidRPr="009353F3">
        <w:rPr>
          <w:b/>
          <w:bCs/>
        </w:rPr>
        <w:t>Capítulo 5: Postura de Segurança e Governança Unificada (Microsoft Defender for Cloud)</w:t>
      </w:r>
    </w:p>
    <w:p w14:paraId="135E0BCC" w14:textId="30B16903" w:rsidR="009353F3" w:rsidRPr="009353F3" w:rsidRDefault="009353F3" w:rsidP="009353F3">
      <w:r w:rsidRPr="009353F3">
        <w:t>Este capítulo integra a análise de identidades (Microsoft Entra ID) e de acesso a recursos (Azure RBAC) com o quadro estratégico de segurança e conformidade proporcionado pelo Microsoft Defender for Cloud, conforme visualizado na Imagem anexa (</w:t>
      </w:r>
      <w:r w:rsidR="00B94D09">
        <w:t>Figura</w:t>
      </w:r>
      <w:r w:rsidRPr="009353F3">
        <w:t xml:space="preserve"> 11). O Defender for Cloud atua como uma Plataforma Unificada de Proteção de Aplicações Nativas da Nuvem (CNAPP), abrangendo Gestão da Postura de Segurança (CSPM) e Proteção de Cargas de Trabalho (CWPP) ``.</w:t>
      </w:r>
    </w:p>
    <w:p w14:paraId="19F73DB2" w14:textId="77777777" w:rsidR="009353F3" w:rsidRPr="009353F3" w:rsidRDefault="009353F3" w:rsidP="009353F3">
      <w:pPr>
        <w:rPr>
          <w:b/>
          <w:bCs/>
        </w:rPr>
      </w:pPr>
      <w:r w:rsidRPr="009353F3">
        <w:rPr>
          <w:b/>
          <w:bCs/>
        </w:rPr>
        <w:t>5.1. Visão Geral da Postura de Segurança (Imagem 11)</w:t>
      </w:r>
    </w:p>
    <w:p w14:paraId="3D068C10" w14:textId="3813C711" w:rsidR="009353F3" w:rsidRPr="009353F3" w:rsidRDefault="009353F3" w:rsidP="009353F3">
      <w:r w:rsidRPr="009353F3">
        <w:t xml:space="preserve">A </w:t>
      </w:r>
      <w:r w:rsidR="00B94D09">
        <w:t>Figura</w:t>
      </w:r>
      <w:r w:rsidRPr="009353F3">
        <w:t xml:space="preserve"> 11 exibe o painel de </w:t>
      </w:r>
      <w:r w:rsidRPr="009353F3">
        <w:rPr>
          <w:b/>
          <w:bCs/>
        </w:rPr>
        <w:t>Visão Geral</w:t>
      </w:r>
      <w:r w:rsidRPr="009353F3">
        <w:t xml:space="preserve"> do Microsoft Defender for Cloud, focado no gerenciamento da postura de segurança em ambientes </w:t>
      </w:r>
      <w:proofErr w:type="spellStart"/>
      <w:r w:rsidRPr="009353F3">
        <w:t>multicloud</w:t>
      </w:r>
      <w:proofErr w:type="spellEnd"/>
      <w:r w:rsidRPr="009353F3">
        <w:t xml:space="preserve"> (Azure, AWS, GCP). O painel apresenta métricas chave de risco e conformidade.</w:t>
      </w:r>
    </w:p>
    <w:p w14:paraId="3F3816B5" w14:textId="77777777" w:rsidR="009353F3" w:rsidRPr="009353F3" w:rsidRDefault="009353F3" w:rsidP="009353F3">
      <w:pPr>
        <w:rPr>
          <w:b/>
          <w:bCs/>
        </w:rPr>
      </w:pPr>
      <w:r w:rsidRPr="009353F3">
        <w:rPr>
          <w:b/>
          <w:bCs/>
        </w:rPr>
        <w:t>5.1.1. Fundamentos da Postura de Segurança (CSPM)</w:t>
      </w:r>
    </w:p>
    <w:p w14:paraId="65CBEFE0" w14:textId="77777777" w:rsidR="009353F3" w:rsidRPr="009353F3" w:rsidRDefault="009353F3" w:rsidP="009353F3">
      <w:r w:rsidRPr="009353F3">
        <w:t xml:space="preserve">O </w:t>
      </w:r>
      <w:r w:rsidRPr="009353F3">
        <w:rPr>
          <w:b/>
          <w:bCs/>
        </w:rPr>
        <w:t xml:space="preserve">Cloud Security </w:t>
      </w:r>
      <w:proofErr w:type="spellStart"/>
      <w:r w:rsidRPr="009353F3">
        <w:rPr>
          <w:b/>
          <w:bCs/>
        </w:rPr>
        <w:t>Posture</w:t>
      </w:r>
      <w:proofErr w:type="spellEnd"/>
      <w:r w:rsidRPr="009353F3">
        <w:rPr>
          <w:b/>
          <w:bCs/>
        </w:rPr>
        <w:t xml:space="preserve"> Management (CSPM)</w:t>
      </w:r>
      <w:r w:rsidRPr="009353F3">
        <w:t xml:space="preserve"> é a funcionalidade principal do Defender for Cloud que avalia continuamente os recursos (incluindo identidades e configurações) em </w:t>
      </w:r>
      <w:r w:rsidRPr="009353F3">
        <w:lastRenderedPageBreak/>
        <w:t xml:space="preserve">relação aos padrões de segurança </w:t>
      </w:r>
      <w:proofErr w:type="gramStart"/>
      <w:r w:rsidRPr="009353F3">
        <w:t>definidos .</w:t>
      </w:r>
      <w:proofErr w:type="gramEnd"/>
      <w:r w:rsidRPr="009353F3">
        <w:t xml:space="preserve"> O CSPM usa o **Microsoft Cloud Security Benchmark (MCSB)** como o padrão de conformidade fundamental para gerar </w:t>
      </w:r>
      <w:proofErr w:type="gramStart"/>
      <w:r w:rsidRPr="009353F3">
        <w:t>recomendações .</w:t>
      </w:r>
      <w:proofErr w:type="gramEnd"/>
    </w:p>
    <w:p w14:paraId="5BBE4136" w14:textId="77777777" w:rsidR="009353F3" w:rsidRPr="009353F3" w:rsidRDefault="009353F3" w:rsidP="009353F3">
      <w:r w:rsidRPr="009353F3">
        <w:t>Os dados críticos apresentados no painel incluem:</w:t>
      </w:r>
    </w:p>
    <w:p w14:paraId="2CD8907B" w14:textId="55B98FDD" w:rsidR="009353F3" w:rsidRPr="009353F3" w:rsidRDefault="009353F3" w:rsidP="009353F3">
      <w:pPr>
        <w:numPr>
          <w:ilvl w:val="0"/>
          <w:numId w:val="8"/>
        </w:numPr>
      </w:pPr>
      <w:r w:rsidRPr="009353F3">
        <w:rPr>
          <w:b/>
          <w:bCs/>
        </w:rPr>
        <w:t>Recomendações Críticas:</w:t>
      </w:r>
      <w:r w:rsidRPr="009353F3">
        <w:t xml:space="preserve"> Falhas de configuração de alta prioridade que devem ser abordadas imediatamente. A falta de recomendações críticas (0) no painel é um indicador positivo.</w:t>
      </w:r>
    </w:p>
    <w:p w14:paraId="0B2B8CB0" w14:textId="6DBDD89D" w:rsidR="009353F3" w:rsidRPr="009353F3" w:rsidRDefault="009353F3" w:rsidP="009353F3">
      <w:pPr>
        <w:numPr>
          <w:ilvl w:val="0"/>
          <w:numId w:val="8"/>
        </w:numPr>
      </w:pPr>
      <w:r w:rsidRPr="009353F3">
        <w:rPr>
          <w:b/>
          <w:bCs/>
        </w:rPr>
        <w:t>Caminhos de Ataque (</w:t>
      </w:r>
      <w:proofErr w:type="spellStart"/>
      <w:r w:rsidRPr="009353F3">
        <w:rPr>
          <w:b/>
          <w:bCs/>
        </w:rPr>
        <w:t>Attack</w:t>
      </w:r>
      <w:proofErr w:type="spellEnd"/>
      <w:r w:rsidRPr="009353F3">
        <w:rPr>
          <w:b/>
          <w:bCs/>
        </w:rPr>
        <w:t xml:space="preserve"> Paths):</w:t>
      </w:r>
      <w:r w:rsidRPr="009353F3">
        <w:t xml:space="preserve"> Representam a análise contextual de como um atacante pode se mover lateralmente de um recurso vulnerável (o ponto de entrada) para um recurso de alto valor (o alvo). A detecção de caminhos de ataque é uma funcionalidade avançada, geralmente associada ao </w:t>
      </w:r>
      <w:proofErr w:type="gramStart"/>
      <w:r w:rsidRPr="009353F3">
        <w:t xml:space="preserve">plano </w:t>
      </w:r>
      <w:r w:rsidRPr="009353F3">
        <w:rPr>
          <w:b/>
          <w:bCs/>
        </w:rPr>
        <w:t>Defender</w:t>
      </w:r>
      <w:proofErr w:type="gramEnd"/>
      <w:r w:rsidRPr="009353F3">
        <w:rPr>
          <w:b/>
          <w:bCs/>
        </w:rPr>
        <w:t xml:space="preserve"> CSPM</w:t>
      </w:r>
      <w:r w:rsidRPr="009353F3">
        <w:t xml:space="preserve"> pago.</w:t>
      </w:r>
    </w:p>
    <w:p w14:paraId="20C0F2CA" w14:textId="5CCCDA46" w:rsidR="009353F3" w:rsidRPr="009353F3" w:rsidRDefault="009353F3" w:rsidP="009353F3">
      <w:pPr>
        <w:numPr>
          <w:ilvl w:val="0"/>
          <w:numId w:val="8"/>
        </w:numPr>
      </w:pPr>
      <w:r w:rsidRPr="009353F3">
        <w:rPr>
          <w:b/>
          <w:bCs/>
        </w:rPr>
        <w:t>Pontuação Total de Segurança (</w:t>
      </w:r>
      <w:proofErr w:type="spellStart"/>
      <w:r w:rsidRPr="009353F3">
        <w:rPr>
          <w:b/>
          <w:bCs/>
        </w:rPr>
        <w:t>Secure</w:t>
      </w:r>
      <w:proofErr w:type="spellEnd"/>
      <w:r w:rsidRPr="009353F3">
        <w:rPr>
          <w:b/>
          <w:bCs/>
        </w:rPr>
        <w:t xml:space="preserve"> Score):</w:t>
      </w:r>
      <w:r w:rsidRPr="009353F3">
        <w:t xml:space="preserve"> É a métrica agregada de risco, calculada com base na proporção de recursos saudáveis versus não-saudáveis dentro dos controles de segurança do MCSB. Um </w:t>
      </w:r>
      <w:proofErr w:type="spellStart"/>
      <w:r w:rsidRPr="009353F3">
        <w:t>Secure</w:t>
      </w:r>
      <w:proofErr w:type="spellEnd"/>
      <w:r w:rsidRPr="009353F3">
        <w:t xml:space="preserve"> Score mais alto (no exemplo, 22%) reflete um risco menor. O cálculo do score é atualizado aproximadamente a cada oito horas.</w:t>
      </w:r>
    </w:p>
    <w:p w14:paraId="252EE15D" w14:textId="77777777" w:rsidR="009353F3" w:rsidRPr="009353F3" w:rsidRDefault="009353F3" w:rsidP="009353F3">
      <w:pPr>
        <w:rPr>
          <w:b/>
          <w:bCs/>
        </w:rPr>
      </w:pPr>
      <w:r w:rsidRPr="009353F3">
        <w:rPr>
          <w:b/>
          <w:bCs/>
        </w:rPr>
        <w:t>5.1.2. Abrangência e Proteção de Cargas de Trabalho (CWPP)</w:t>
      </w:r>
    </w:p>
    <w:p w14:paraId="1288662F" w14:textId="5E4F735B" w:rsidR="009353F3" w:rsidRPr="009353F3" w:rsidRDefault="009353F3" w:rsidP="009353F3">
      <w:r w:rsidRPr="009353F3">
        <w:t xml:space="preserve">O Defender for Cloud é uma solução de segurança </w:t>
      </w:r>
      <w:proofErr w:type="spellStart"/>
      <w:r w:rsidRPr="009353F3">
        <w:t>multicloud</w:t>
      </w:r>
      <w:proofErr w:type="spellEnd"/>
      <w:r w:rsidRPr="009353F3">
        <w:t xml:space="preserve"> </w:t>
      </w:r>
      <w:proofErr w:type="spellStart"/>
      <w:r w:rsidRPr="009353F3">
        <w:t>que oferece</w:t>
      </w:r>
      <w:proofErr w:type="spellEnd"/>
      <w:r w:rsidRPr="009353F3">
        <w:t xml:space="preserve"> cobertura para Azure, AWS e GCP (</w:t>
      </w:r>
      <w:r w:rsidR="00586206">
        <w:t>Figura</w:t>
      </w:r>
      <w:r w:rsidRPr="009353F3">
        <w:t xml:space="preserve"> 11). A proteção de cargas de trabalho (</w:t>
      </w:r>
      <w:r w:rsidRPr="009353F3">
        <w:rPr>
          <w:b/>
          <w:bCs/>
        </w:rPr>
        <w:t xml:space="preserve">Cloud </w:t>
      </w:r>
      <w:proofErr w:type="spellStart"/>
      <w:r w:rsidRPr="009353F3">
        <w:rPr>
          <w:b/>
          <w:bCs/>
        </w:rPr>
        <w:t>Workload</w:t>
      </w:r>
      <w:proofErr w:type="spellEnd"/>
      <w:r w:rsidRPr="009353F3">
        <w:rPr>
          <w:b/>
          <w:bCs/>
        </w:rPr>
        <w:t xml:space="preserve"> </w:t>
      </w:r>
      <w:proofErr w:type="spellStart"/>
      <w:r w:rsidRPr="009353F3">
        <w:rPr>
          <w:b/>
          <w:bCs/>
        </w:rPr>
        <w:t>Protection</w:t>
      </w:r>
      <w:proofErr w:type="spellEnd"/>
      <w:r w:rsidRPr="009353F3">
        <w:rPr>
          <w:b/>
          <w:bCs/>
        </w:rPr>
        <w:t xml:space="preserve"> Platform - CWPP</w:t>
      </w:r>
      <w:r w:rsidRPr="009353F3">
        <w:t xml:space="preserve">) defende recursos em tempo de execução, como máquinas virtuais, contêineres, bancos de dados, Armazenamento e Funções </w:t>
      </w:r>
      <w:proofErr w:type="spellStart"/>
      <w:r w:rsidRPr="009353F3">
        <w:t>Serverless</w:t>
      </w:r>
      <w:proofErr w:type="spellEnd"/>
      <w:r w:rsidRPr="009353F3">
        <w:t xml:space="preserve"> contra ameaças ativas ``.</w:t>
      </w:r>
    </w:p>
    <w:p w14:paraId="15C4D1CC" w14:textId="77777777" w:rsidR="009353F3" w:rsidRPr="009353F3" w:rsidRDefault="009353F3" w:rsidP="009353F3">
      <w:r w:rsidRPr="009353F3">
        <w:t>A cobertura e a proteção de recursos são categorizadas por planos específicos:</w:t>
      </w:r>
    </w:p>
    <w:p w14:paraId="3AB145D8" w14:textId="77777777" w:rsidR="009353F3" w:rsidRPr="009353F3" w:rsidRDefault="009353F3" w:rsidP="009353F3">
      <w:pPr>
        <w:numPr>
          <w:ilvl w:val="0"/>
          <w:numId w:val="9"/>
        </w:numPr>
      </w:pPr>
      <w:r w:rsidRPr="009353F3">
        <w:rPr>
          <w:b/>
          <w:bCs/>
        </w:rPr>
        <w:t>Defender for Servers:</w:t>
      </w:r>
      <w:r w:rsidRPr="009353F3">
        <w:t xml:space="preserve"> Proteção avançada e EDR para </w:t>
      </w:r>
      <w:proofErr w:type="spellStart"/>
      <w:r w:rsidRPr="009353F3">
        <w:t>VMs</w:t>
      </w:r>
      <w:proofErr w:type="spellEnd"/>
      <w:r w:rsidRPr="009353F3">
        <w:t xml:space="preserve"> e servidores ``.</w:t>
      </w:r>
    </w:p>
    <w:p w14:paraId="3DD134EE" w14:textId="77777777" w:rsidR="009353F3" w:rsidRPr="009353F3" w:rsidRDefault="009353F3" w:rsidP="009353F3">
      <w:pPr>
        <w:numPr>
          <w:ilvl w:val="0"/>
          <w:numId w:val="9"/>
        </w:numPr>
      </w:pPr>
      <w:r w:rsidRPr="009353F3">
        <w:rPr>
          <w:b/>
          <w:bCs/>
        </w:rPr>
        <w:t>Defender for Containers:</w:t>
      </w:r>
      <w:r w:rsidRPr="009353F3">
        <w:t xml:space="preserve"> Endurecimento e proteção em tempo de execução para clusters </w:t>
      </w:r>
      <w:proofErr w:type="spellStart"/>
      <w:r w:rsidRPr="009353F3">
        <w:t>Kubernetes</w:t>
      </w:r>
      <w:proofErr w:type="spellEnd"/>
      <w:r w:rsidRPr="009353F3">
        <w:t xml:space="preserve"> ``.</w:t>
      </w:r>
    </w:p>
    <w:p w14:paraId="1DE8508D" w14:textId="77777777" w:rsidR="009353F3" w:rsidRPr="009353F3" w:rsidRDefault="009353F3" w:rsidP="009353F3">
      <w:pPr>
        <w:numPr>
          <w:ilvl w:val="0"/>
          <w:numId w:val="9"/>
        </w:numPr>
      </w:pPr>
      <w:r w:rsidRPr="009353F3">
        <w:rPr>
          <w:b/>
          <w:bCs/>
        </w:rPr>
        <w:t xml:space="preserve">Defender for </w:t>
      </w:r>
      <w:proofErr w:type="spellStart"/>
      <w:r w:rsidRPr="009353F3">
        <w:rPr>
          <w:b/>
          <w:bCs/>
        </w:rPr>
        <w:t>Storage</w:t>
      </w:r>
      <w:proofErr w:type="spellEnd"/>
      <w:r w:rsidRPr="009353F3">
        <w:rPr>
          <w:b/>
          <w:bCs/>
        </w:rPr>
        <w:t>:</w:t>
      </w:r>
      <w:r w:rsidRPr="009353F3">
        <w:t xml:space="preserve"> Proteção contra malware e ameaças específicas de armazenamento ``.</w:t>
      </w:r>
    </w:p>
    <w:p w14:paraId="7466ECA3" w14:textId="77777777" w:rsidR="009353F3" w:rsidRPr="009353F3" w:rsidRDefault="009353F3" w:rsidP="009353F3">
      <w:pPr>
        <w:rPr>
          <w:b/>
          <w:bCs/>
        </w:rPr>
      </w:pPr>
      <w:r w:rsidRPr="009353F3">
        <w:rPr>
          <w:b/>
          <w:bCs/>
        </w:rPr>
        <w:t>5.2. Gerenciamento de Permissões de Infraestrutura em Nuvem (CIEM)</w:t>
      </w:r>
    </w:p>
    <w:p w14:paraId="2B912AFE" w14:textId="77777777" w:rsidR="009353F3" w:rsidRPr="009353F3" w:rsidRDefault="009353F3" w:rsidP="009353F3">
      <w:r w:rsidRPr="009353F3">
        <w:t xml:space="preserve">O painel destaca a necessidade de </w:t>
      </w:r>
      <w:r w:rsidRPr="009353F3">
        <w:rPr>
          <w:b/>
          <w:bCs/>
        </w:rPr>
        <w:t>Gerenciamento de Permissões de Infraestrutura em Nuvem (CIEM)</w:t>
      </w:r>
      <w:r w:rsidRPr="009353F3">
        <w:t>, que é uma capacidade nativa do Defender CSPM, essencial para impor o Princípio do Mínimo Privilégio (</w:t>
      </w:r>
      <w:proofErr w:type="spellStart"/>
      <w:r w:rsidRPr="009353F3">
        <w:t>PoLP</w:t>
      </w:r>
      <w:proofErr w:type="spellEnd"/>
      <w:r w:rsidRPr="009353F3">
        <w:t>) na identidade.</w:t>
      </w:r>
    </w:p>
    <w:p w14:paraId="7B2B1CD3" w14:textId="77777777" w:rsidR="009353F3" w:rsidRPr="009353F3" w:rsidRDefault="009353F3" w:rsidP="009353F3">
      <w:pPr>
        <w:rPr>
          <w:b/>
          <w:bCs/>
        </w:rPr>
      </w:pPr>
      <w:r w:rsidRPr="009353F3">
        <w:rPr>
          <w:b/>
          <w:bCs/>
        </w:rPr>
        <w:t xml:space="preserve">5.2.1. Funcionalidade CIEM e Visibilidade de </w:t>
      </w:r>
      <w:proofErr w:type="spellStart"/>
      <w:r w:rsidRPr="009353F3">
        <w:rPr>
          <w:b/>
          <w:bCs/>
        </w:rPr>
        <w:t>Entitlements</w:t>
      </w:r>
      <w:proofErr w:type="spellEnd"/>
    </w:p>
    <w:p w14:paraId="3FFDC097" w14:textId="77777777" w:rsidR="009353F3" w:rsidRPr="009353F3" w:rsidRDefault="009353F3" w:rsidP="009353F3">
      <w:r w:rsidRPr="009353F3">
        <w:t>O CIEM (</w:t>
      </w:r>
      <w:r w:rsidRPr="009353F3">
        <w:rPr>
          <w:b/>
          <w:bCs/>
        </w:rPr>
        <w:t xml:space="preserve">Cloud </w:t>
      </w:r>
      <w:proofErr w:type="spellStart"/>
      <w:r w:rsidRPr="009353F3">
        <w:rPr>
          <w:b/>
          <w:bCs/>
        </w:rPr>
        <w:t>Infrastructure</w:t>
      </w:r>
      <w:proofErr w:type="spellEnd"/>
      <w:r w:rsidRPr="009353F3">
        <w:rPr>
          <w:b/>
          <w:bCs/>
        </w:rPr>
        <w:t xml:space="preserve"> </w:t>
      </w:r>
      <w:proofErr w:type="spellStart"/>
      <w:r w:rsidRPr="009353F3">
        <w:rPr>
          <w:b/>
          <w:bCs/>
        </w:rPr>
        <w:t>Entitlement</w:t>
      </w:r>
      <w:proofErr w:type="spellEnd"/>
      <w:r w:rsidRPr="009353F3">
        <w:rPr>
          <w:b/>
          <w:bCs/>
        </w:rPr>
        <w:t xml:space="preserve"> Management</w:t>
      </w:r>
      <w:r w:rsidRPr="009353F3">
        <w:t xml:space="preserve">) fornece visibilidade abrangente sobre os </w:t>
      </w:r>
      <w:proofErr w:type="spellStart"/>
      <w:r w:rsidRPr="009353F3">
        <w:rPr>
          <w:i/>
          <w:iCs/>
        </w:rPr>
        <w:t>entitlements</w:t>
      </w:r>
      <w:proofErr w:type="spellEnd"/>
      <w:r w:rsidRPr="009353F3">
        <w:t xml:space="preserve"> (permissões) atribuídos a todas as identidades (usuários e cargas de trabalho) em ambientes </w:t>
      </w:r>
      <w:proofErr w:type="spellStart"/>
      <w:proofErr w:type="gramStart"/>
      <w:r w:rsidRPr="009353F3">
        <w:t>multicloud</w:t>
      </w:r>
      <w:proofErr w:type="spellEnd"/>
      <w:r w:rsidRPr="009353F3">
        <w:t xml:space="preserve"> .</w:t>
      </w:r>
      <w:proofErr w:type="gramEnd"/>
      <w:r w:rsidRPr="009353F3">
        <w:t xml:space="preserve"> O objetivo é reduzir a superfície de ataque ao detectar, redimensionar (*</w:t>
      </w:r>
      <w:proofErr w:type="spellStart"/>
      <w:r w:rsidRPr="009353F3">
        <w:t>right-size</w:t>
      </w:r>
      <w:proofErr w:type="spellEnd"/>
      <w:r w:rsidRPr="009353F3">
        <w:t>*) e monitorar permissões **inutilizadas e excessivas*</w:t>
      </w:r>
      <w:proofErr w:type="gramStart"/>
      <w:r w:rsidRPr="009353F3">
        <w:t>* .</w:t>
      </w:r>
      <w:proofErr w:type="gramEnd"/>
    </w:p>
    <w:p w14:paraId="04D2371A" w14:textId="77777777" w:rsidR="009353F3" w:rsidRPr="009353F3" w:rsidRDefault="009353F3" w:rsidP="009353F3">
      <w:r w:rsidRPr="009353F3">
        <w:t>No contexto das identidades analisadas (Capítulo 2 e 4), o CIEM atua de duas formas principais:</w:t>
      </w:r>
    </w:p>
    <w:p w14:paraId="0F98968C" w14:textId="188874BD" w:rsidR="009353F3" w:rsidRPr="009353F3" w:rsidRDefault="009353F3" w:rsidP="009353F3">
      <w:pPr>
        <w:numPr>
          <w:ilvl w:val="0"/>
          <w:numId w:val="10"/>
        </w:numPr>
      </w:pPr>
      <w:r w:rsidRPr="009353F3">
        <w:rPr>
          <w:b/>
          <w:bCs/>
        </w:rPr>
        <w:t xml:space="preserve">Usuários </w:t>
      </w:r>
      <w:proofErr w:type="spellStart"/>
      <w:r w:rsidRPr="009353F3">
        <w:rPr>
          <w:b/>
          <w:bCs/>
        </w:rPr>
        <w:t>Superprovisionados</w:t>
      </w:r>
      <w:proofErr w:type="spellEnd"/>
      <w:r w:rsidRPr="009353F3">
        <w:rPr>
          <w:b/>
          <w:bCs/>
        </w:rPr>
        <w:t xml:space="preserve"> (RBAC):</w:t>
      </w:r>
      <w:r w:rsidRPr="009353F3">
        <w:t xml:space="preserve"> Identifica a identidade do Paulo Junior que possui a função </w:t>
      </w:r>
      <w:r w:rsidRPr="009353F3">
        <w:rPr>
          <w:b/>
          <w:bCs/>
        </w:rPr>
        <w:t>Proprietário</w:t>
      </w:r>
      <w:r w:rsidRPr="009353F3">
        <w:t xml:space="preserve"> herdada (</w:t>
      </w:r>
      <w:r w:rsidR="00586206">
        <w:t>Figura</w:t>
      </w:r>
      <w:r w:rsidRPr="009353F3">
        <w:t xml:space="preserve"> 10). Se essa identidade não utiliza a </w:t>
      </w:r>
      <w:r w:rsidRPr="009353F3">
        <w:lastRenderedPageBreak/>
        <w:t xml:space="preserve">totalidade dos privilégios de Proprietário, o CIEM a classifica como </w:t>
      </w:r>
      <w:proofErr w:type="spellStart"/>
      <w:r w:rsidRPr="009353F3">
        <w:rPr>
          <w:b/>
          <w:bCs/>
        </w:rPr>
        <w:t>superprovisionada</w:t>
      </w:r>
      <w:proofErr w:type="spellEnd"/>
      <w:r w:rsidRPr="009353F3">
        <w:t xml:space="preserve"> e recomenda a redução da função com base no uso real, aplicando o </w:t>
      </w:r>
      <w:proofErr w:type="spellStart"/>
      <w:r w:rsidRPr="009353F3">
        <w:t>PoLP</w:t>
      </w:r>
      <w:proofErr w:type="spellEnd"/>
      <w:r w:rsidRPr="009353F3">
        <w:t>.</w:t>
      </w:r>
    </w:p>
    <w:p w14:paraId="6BD431E1" w14:textId="75C965A1" w:rsidR="009353F3" w:rsidRPr="009353F3" w:rsidRDefault="009353F3" w:rsidP="009353F3">
      <w:pPr>
        <w:numPr>
          <w:ilvl w:val="0"/>
          <w:numId w:val="10"/>
        </w:numPr>
      </w:pPr>
      <w:r w:rsidRPr="009353F3">
        <w:rPr>
          <w:b/>
          <w:bCs/>
        </w:rPr>
        <w:t>Identidades Órfãs:</w:t>
      </w:r>
      <w:r w:rsidRPr="009353F3">
        <w:t xml:space="preserve"> Rastreia usuários, incluindo colaboradores B2B (como o usuário #EXT#), para detectar contas inativas ou bloqueadas que ainda mantêm permissões de acesso, recomendando sua remoção.</w:t>
      </w:r>
    </w:p>
    <w:p w14:paraId="468A6758" w14:textId="77777777" w:rsidR="009353F3" w:rsidRPr="009353F3" w:rsidRDefault="009353F3" w:rsidP="009353F3">
      <w:pPr>
        <w:rPr>
          <w:b/>
          <w:bCs/>
        </w:rPr>
      </w:pPr>
      <w:r w:rsidRPr="009353F3">
        <w:rPr>
          <w:b/>
          <w:bCs/>
        </w:rPr>
        <w:t>5.2.2. Priorização e Análise de Caminho de Ataque</w:t>
      </w:r>
    </w:p>
    <w:p w14:paraId="46AB764E" w14:textId="2BD08AD1" w:rsidR="009353F3" w:rsidRPr="009353F3" w:rsidRDefault="009353F3" w:rsidP="009353F3">
      <w:r w:rsidRPr="009353F3">
        <w:t xml:space="preserve">O </w:t>
      </w:r>
      <w:proofErr w:type="gramStart"/>
      <w:r w:rsidRPr="009353F3">
        <w:t xml:space="preserve">painel </w:t>
      </w:r>
      <w:r w:rsidRPr="009353F3">
        <w:rPr>
          <w:b/>
          <w:bCs/>
        </w:rPr>
        <w:t>Explorar</w:t>
      </w:r>
      <w:proofErr w:type="gramEnd"/>
      <w:r w:rsidRPr="009353F3">
        <w:rPr>
          <w:b/>
          <w:bCs/>
        </w:rPr>
        <w:t xml:space="preserve"> CIEM</w:t>
      </w:r>
      <w:r w:rsidRPr="009353F3">
        <w:t xml:space="preserve"> e o </w:t>
      </w:r>
      <w:r w:rsidRPr="009353F3">
        <w:rPr>
          <w:b/>
          <w:bCs/>
        </w:rPr>
        <w:t>painel CIEM</w:t>
      </w:r>
      <w:r w:rsidRPr="009353F3">
        <w:t xml:space="preserve"> (mencionado no alerta) são as interfaces para analisar o </w:t>
      </w:r>
      <w:r w:rsidRPr="009353F3">
        <w:rPr>
          <w:b/>
          <w:bCs/>
        </w:rPr>
        <w:t>Risco de Permissões</w:t>
      </w:r>
      <w:r w:rsidRPr="009353F3">
        <w:t>.</w:t>
      </w:r>
    </w:p>
    <w:p w14:paraId="3AE67849" w14:textId="663D21B2" w:rsidR="009353F3" w:rsidRPr="009353F3" w:rsidRDefault="009353F3" w:rsidP="009353F3">
      <w:r w:rsidRPr="009353F3">
        <w:t xml:space="preserve">O CIEM correlaciona o risco de identidade com a postura de segurança geral, utilizando o </w:t>
      </w:r>
      <w:proofErr w:type="spellStart"/>
      <w:r w:rsidRPr="009353F3">
        <w:rPr>
          <w:b/>
          <w:bCs/>
        </w:rPr>
        <w:t>Attack</w:t>
      </w:r>
      <w:proofErr w:type="spellEnd"/>
      <w:r w:rsidRPr="009353F3">
        <w:rPr>
          <w:b/>
          <w:bCs/>
        </w:rPr>
        <w:t xml:space="preserve"> Path </w:t>
      </w:r>
      <w:proofErr w:type="spellStart"/>
      <w:r w:rsidRPr="009353F3">
        <w:rPr>
          <w:b/>
          <w:bCs/>
        </w:rPr>
        <w:t>Analysis</w:t>
      </w:r>
      <w:proofErr w:type="spellEnd"/>
      <w:r w:rsidRPr="009353F3">
        <w:t xml:space="preserve"> para mostrar como um atacante poderia explorar uma identidade superprivilegiada (como um Service Principal com permissões excessivas no Entra ID) para alcançar um recurso de alto valor. Essa priorização contextual permite que as equipes de segurança concentrem os esforços de remediação nas falhas de identidade que representam o maior risco para o negócio.</w:t>
      </w:r>
    </w:p>
    <w:p w14:paraId="36A15C37" w14:textId="77777777" w:rsidR="009353F3" w:rsidRPr="009353F3" w:rsidRDefault="009353F3" w:rsidP="009353F3">
      <w:pPr>
        <w:rPr>
          <w:b/>
          <w:bCs/>
        </w:rPr>
      </w:pPr>
      <w:r w:rsidRPr="009353F3">
        <w:rPr>
          <w:b/>
          <w:bCs/>
        </w:rPr>
        <w:t>5.3. Conformidade Regulatória (</w:t>
      </w:r>
      <w:proofErr w:type="spellStart"/>
      <w:r w:rsidRPr="009353F3">
        <w:rPr>
          <w:b/>
          <w:bCs/>
        </w:rPr>
        <w:t>Regulatory</w:t>
      </w:r>
      <w:proofErr w:type="spellEnd"/>
      <w:r w:rsidRPr="009353F3">
        <w:rPr>
          <w:b/>
          <w:bCs/>
        </w:rPr>
        <w:t xml:space="preserve"> Compliance)</w:t>
      </w:r>
    </w:p>
    <w:p w14:paraId="675B7FB2" w14:textId="77777777" w:rsidR="009353F3" w:rsidRPr="009353F3" w:rsidRDefault="009353F3" w:rsidP="009353F3">
      <w:r w:rsidRPr="009353F3">
        <w:t xml:space="preserve">O Defender for Cloud simplifica a conformidade regulatória, apresentando padrões como o </w:t>
      </w:r>
      <w:r w:rsidRPr="009353F3">
        <w:rPr>
          <w:b/>
          <w:bCs/>
        </w:rPr>
        <w:t>Microsoft Cloud Security Benchmark (MCSB)</w:t>
      </w:r>
      <w:r w:rsidRPr="009353F3">
        <w:t>.</w:t>
      </w:r>
    </w:p>
    <w:p w14:paraId="3C3EC813" w14:textId="77777777" w:rsidR="009353F3" w:rsidRPr="009353F3" w:rsidRDefault="009353F3" w:rsidP="009353F3">
      <w:pPr>
        <w:rPr>
          <w:b/>
          <w:bCs/>
        </w:rPr>
      </w:pPr>
      <w:r w:rsidRPr="009353F3">
        <w:rPr>
          <w:b/>
          <w:bCs/>
        </w:rPr>
        <w:t>5.3.1. Visão do Painel de Conformidade</w:t>
      </w:r>
    </w:p>
    <w:p w14:paraId="4F8E56C5" w14:textId="30E03308" w:rsidR="009353F3" w:rsidRPr="009353F3" w:rsidRDefault="009353F3" w:rsidP="009353F3">
      <w:r w:rsidRPr="009353F3">
        <w:t xml:space="preserve">O painel de </w:t>
      </w:r>
      <w:r w:rsidRPr="009353F3">
        <w:rPr>
          <w:b/>
          <w:bCs/>
        </w:rPr>
        <w:t>Conformidade regulatória</w:t>
      </w:r>
      <w:r w:rsidRPr="009353F3">
        <w:t xml:space="preserve"> (</w:t>
      </w:r>
      <w:r w:rsidR="00586206">
        <w:t>Figura</w:t>
      </w:r>
      <w:r w:rsidRPr="009353F3">
        <w:t xml:space="preserve"> 11) exibe o status de adesão aos padrões de segurança aplicados ``. Cada padrão é composto por múltiplos </w:t>
      </w:r>
      <w:r w:rsidRPr="009353F3">
        <w:rPr>
          <w:b/>
          <w:bCs/>
        </w:rPr>
        <w:t>Controles de Conformidade</w:t>
      </w:r>
      <w:r w:rsidRPr="009353F3">
        <w:t>, que são agrupamentos lógicos de recomendações de segurança.</w:t>
      </w:r>
    </w:p>
    <w:p w14:paraId="22A3A38D" w14:textId="43A2CB25" w:rsidR="009353F3" w:rsidRPr="009353F3" w:rsidRDefault="009353F3" w:rsidP="009353F3">
      <w:r w:rsidRPr="009353F3">
        <w:t>A visualização imediata dos resultados dos controles (como o Microsoft Cloud Security Benchmark) permite que os administradores entendam rapidamente onde o ambiente está falhando e se concentrem em corrigir as recomendações correspondentes ``. O painel fornece um resumo do padrão, permitindo a revisão das avaliações para os controles e a geração de relatórios de conformidade.</w:t>
      </w:r>
    </w:p>
    <w:p w14:paraId="7AC625D8" w14:textId="77777777" w:rsidR="009353F3" w:rsidRPr="009353F3" w:rsidRDefault="009353F3" w:rsidP="009353F3">
      <w:pPr>
        <w:rPr>
          <w:b/>
          <w:bCs/>
        </w:rPr>
      </w:pPr>
      <w:r w:rsidRPr="009353F3">
        <w:rPr>
          <w:b/>
          <w:bCs/>
        </w:rPr>
        <w:t>Conclusões e Recomendações</w:t>
      </w:r>
    </w:p>
    <w:p w14:paraId="1EA6D691" w14:textId="77777777" w:rsidR="009353F3" w:rsidRPr="009353F3" w:rsidRDefault="009353F3" w:rsidP="009353F3">
      <w:r w:rsidRPr="009353F3">
        <w:t>A análise detalhada das interfaces do Azure Portal e da documentação técnica da Microsoft revela áreas de conformidade e oportunidades críticas para aprimoramento da postura de segurança e governança.</w:t>
      </w:r>
    </w:p>
    <w:p w14:paraId="01823F56" w14:textId="77777777" w:rsidR="009353F3" w:rsidRPr="009353F3" w:rsidRDefault="009353F3" w:rsidP="009353F3">
      <w:pPr>
        <w:numPr>
          <w:ilvl w:val="0"/>
          <w:numId w:val="11"/>
        </w:numPr>
      </w:pPr>
      <w:r w:rsidRPr="009353F3">
        <w:rPr>
          <w:b/>
          <w:bCs/>
        </w:rPr>
        <w:t>Governança de Autenticação (Microsoft Entra ID):</w:t>
      </w:r>
      <w:r w:rsidRPr="009353F3">
        <w:t xml:space="preserve"> O alerta de migração de políticas de autenticação para o modelo convergido até setembro de 2025 é uma exigência de arquitetura que transcende a mera atualização administrativa. A migração deve ser tratada como um imperativo de segurança, pois permite a transição do gerenciamento de métodos de autenticação de um modelo global para um modelo granular e baseado em grupos. É recomendado que os administradores iniciem imediatamente a auditoria das políticas legadas (MFA por usuário e SSPR) e utilizem o Guia de Migração para alcançar o status de "Migração Concluída", centralizando a administração de identidade.</w:t>
      </w:r>
    </w:p>
    <w:p w14:paraId="7CC484BB" w14:textId="77777777" w:rsidR="009353F3" w:rsidRPr="009353F3" w:rsidRDefault="009353F3" w:rsidP="009353F3">
      <w:pPr>
        <w:numPr>
          <w:ilvl w:val="0"/>
          <w:numId w:val="11"/>
        </w:numPr>
      </w:pPr>
      <w:r w:rsidRPr="009353F3">
        <w:rPr>
          <w:b/>
          <w:bCs/>
        </w:rPr>
        <w:t>Gestão de Identidade Externa:</w:t>
      </w:r>
      <w:r w:rsidRPr="009353F3">
        <w:t xml:space="preserve"> A presença de um usuário B2B </w:t>
      </w:r>
      <w:proofErr w:type="spellStart"/>
      <w:r w:rsidRPr="009353F3">
        <w:t>Collaboration</w:t>
      </w:r>
      <w:proofErr w:type="spellEnd"/>
      <w:r w:rsidRPr="009353F3">
        <w:t xml:space="preserve"> marcado com #EXT# classificado como </w:t>
      </w:r>
      <w:r w:rsidRPr="009353F3">
        <w:rPr>
          <w:b/>
          <w:bCs/>
        </w:rPr>
        <w:t>Membro</w:t>
      </w:r>
      <w:r w:rsidRPr="009353F3">
        <w:t xml:space="preserve"> exige um escrutínio elevado. Embora seja um </w:t>
      </w:r>
      <w:r w:rsidRPr="009353F3">
        <w:lastRenderedPageBreak/>
        <w:t>cenário técnico válido ("</w:t>
      </w:r>
      <w:proofErr w:type="spellStart"/>
      <w:r w:rsidRPr="009353F3">
        <w:t>External</w:t>
      </w:r>
      <w:proofErr w:type="spellEnd"/>
      <w:r w:rsidRPr="009353F3">
        <w:t xml:space="preserve"> </w:t>
      </w:r>
      <w:proofErr w:type="spellStart"/>
      <w:r w:rsidRPr="009353F3">
        <w:t>Member</w:t>
      </w:r>
      <w:proofErr w:type="spellEnd"/>
      <w:r w:rsidRPr="009353F3">
        <w:t xml:space="preserve">"), ele confere ao parceiro privilégios mais amplos do que o tipo </w:t>
      </w:r>
      <w:r w:rsidRPr="009353F3">
        <w:rPr>
          <w:b/>
          <w:bCs/>
        </w:rPr>
        <w:t>Convidado</w:t>
      </w:r>
      <w:r w:rsidRPr="009353F3">
        <w:t xml:space="preserve">. É fundamental garantir que políticas de Acesso Condicional rigorosas sejam aplicadas a todas as identidades #EXT# que possuam o tipo Membro, e que essas atribuições sejam reservadas apenas para cenários de confiança máxima (como organizações </w:t>
      </w:r>
      <w:proofErr w:type="spellStart"/>
      <w:r w:rsidRPr="009353F3">
        <w:t>multi-tenant</w:t>
      </w:r>
      <w:proofErr w:type="spellEnd"/>
      <w:r w:rsidRPr="009353F3">
        <w:t>).</w:t>
      </w:r>
    </w:p>
    <w:p w14:paraId="1A24E682" w14:textId="77777777" w:rsidR="009353F3" w:rsidRPr="009353F3" w:rsidRDefault="009353F3" w:rsidP="009353F3">
      <w:pPr>
        <w:numPr>
          <w:ilvl w:val="0"/>
          <w:numId w:val="11"/>
        </w:numPr>
      </w:pPr>
      <w:r w:rsidRPr="009353F3">
        <w:rPr>
          <w:b/>
          <w:bCs/>
        </w:rPr>
        <w:t>Estratégia de Identidade Híbrida:</w:t>
      </w:r>
      <w:r w:rsidRPr="009353F3">
        <w:t xml:space="preserve"> A documentação técnica reforça o direcionamento estratégico da Microsoft em relação ao </w:t>
      </w:r>
      <w:r w:rsidRPr="009353F3">
        <w:rPr>
          <w:b/>
          <w:bCs/>
        </w:rPr>
        <w:t>Microsoft Entra Cloud Sync</w:t>
      </w:r>
      <w:r w:rsidRPr="009353F3">
        <w:t>. Organizações que planejam ou estão atualmente utilizando o Connect Sync legado devem avaliar a migração para o Cloud Sync. A principal justificativa técnica para essa transição é a capacidade aprimorada do Cloud Sync de gerenciar múltiplas florestas AD desconectadas de forma eficiente, um fator decisivo para simplificar a complexidade operacional, especialmente em ambientes resultantes de fusões e aquisições.</w:t>
      </w:r>
    </w:p>
    <w:p w14:paraId="14ABCFE3" w14:textId="200173D5" w:rsidR="009353F3" w:rsidRPr="009353F3" w:rsidRDefault="009353F3" w:rsidP="009353F3">
      <w:pPr>
        <w:numPr>
          <w:ilvl w:val="0"/>
          <w:numId w:val="11"/>
        </w:numPr>
      </w:pPr>
      <w:r w:rsidRPr="009353F3">
        <w:rPr>
          <w:b/>
          <w:bCs/>
        </w:rPr>
        <w:t>Conformidade com Azure RBAC e Mínimo Privilégio:</w:t>
      </w:r>
      <w:r w:rsidRPr="009353F3">
        <w:t xml:space="preserve"> A estrutura de acesso do Azure RBAC, conforme demonstrada na </w:t>
      </w:r>
      <w:r w:rsidR="00586206">
        <w:t>Figura</w:t>
      </w:r>
      <w:r w:rsidRPr="009353F3">
        <w:t xml:space="preserve"> 10, expõe um risco de governança. A atribuição de papéis de alto privilégio, como </w:t>
      </w:r>
      <w:r w:rsidRPr="009353F3">
        <w:rPr>
          <w:b/>
          <w:bCs/>
        </w:rPr>
        <w:t>Proprietário</w:t>
      </w:r>
      <w:r w:rsidRPr="009353F3">
        <w:t>, em escopos amplos (</w:t>
      </w:r>
      <w:proofErr w:type="spellStart"/>
      <w:r w:rsidRPr="009353F3">
        <w:t>ex</w:t>
      </w:r>
      <w:proofErr w:type="spellEnd"/>
      <w:r w:rsidRPr="009353F3">
        <w:t xml:space="preserve">: Assinatura) e herdada para níveis inferiores, viola o Princípio do Mínimo Privilégio. Essa prática anula a eficácia das atribuições de papéis mais restritos (como Azure AI </w:t>
      </w:r>
      <w:proofErr w:type="spellStart"/>
      <w:r w:rsidRPr="009353F3">
        <w:t>User</w:t>
      </w:r>
      <w:proofErr w:type="spellEnd"/>
      <w:r w:rsidRPr="009353F3">
        <w:t>) no nível do Grupo de Recursos. É uma recomendação de segurança crítica que os administradores revisem e removam atribuições de alto privilégio em escopos amplos, limitando-as estritamente ao nível de Grupo de Recursos ou Recurso necessário para a operação, garantindo que o escopo seja sempre o mais restrito possível.</w:t>
      </w:r>
    </w:p>
    <w:p w14:paraId="1E52F5F5" w14:textId="7A2DA422" w:rsidR="009353F3" w:rsidRPr="009353F3" w:rsidRDefault="009353F3" w:rsidP="009353F3">
      <w:pPr>
        <w:numPr>
          <w:ilvl w:val="0"/>
          <w:numId w:val="11"/>
        </w:numPr>
      </w:pPr>
      <w:r w:rsidRPr="009353F3">
        <w:rPr>
          <w:b/>
          <w:bCs/>
        </w:rPr>
        <w:t>Integração de Segurança e Gestão de Privilégios (Defender for Cloud/CIEM):</w:t>
      </w:r>
      <w:r w:rsidRPr="009353F3">
        <w:t xml:space="preserve"> A Pontuação Total de Segurança de 22% (</w:t>
      </w:r>
      <w:r w:rsidR="00586206">
        <w:t>Figura</w:t>
      </w:r>
      <w:r w:rsidRPr="009353F3">
        <w:t xml:space="preserve"> 11) indica uma postura de segurança inicial que exige melhorias significativas. O Defender for Cloud deve ser utilizado para identificar as recomendações de maior impacto (aqueles que mais aumentam a Pontuação de Segurança). Em particular, o </w:t>
      </w:r>
      <w:r w:rsidRPr="009353F3">
        <w:rPr>
          <w:b/>
          <w:bCs/>
        </w:rPr>
        <w:t>Gerenciamento de Permissões (CIEM)</w:t>
      </w:r>
      <w:r w:rsidRPr="009353F3">
        <w:t xml:space="preserve"> deve ser ativado e explorado para identificar e redimensionar (</w:t>
      </w:r>
      <w:proofErr w:type="spellStart"/>
      <w:r w:rsidRPr="009353F3">
        <w:rPr>
          <w:i/>
          <w:iCs/>
        </w:rPr>
        <w:t>right-sizing</w:t>
      </w:r>
      <w:proofErr w:type="spellEnd"/>
      <w:r w:rsidRPr="009353F3">
        <w:t xml:space="preserve">) as identidades </w:t>
      </w:r>
      <w:proofErr w:type="spellStart"/>
      <w:r w:rsidRPr="009353F3">
        <w:t>superprovisionadas</w:t>
      </w:r>
      <w:proofErr w:type="spellEnd"/>
      <w:r w:rsidRPr="009353F3">
        <w:t>, sejam elas usuários internos (membros) ou externos (#EXT#) com privilégios de Proprietário herdados, garantindo a aplicação efetiva do Princípio do Mínimo Privilégio.</w:t>
      </w:r>
    </w:p>
    <w:p w14:paraId="42C6DB38" w14:textId="01F89E9D" w:rsidR="00647D1C" w:rsidRPr="009353F3" w:rsidRDefault="00647D1C" w:rsidP="009353F3"/>
    <w:sectPr w:rsidR="00647D1C" w:rsidRPr="009353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36EF7"/>
    <w:multiLevelType w:val="multilevel"/>
    <w:tmpl w:val="B680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07BCC"/>
    <w:multiLevelType w:val="multilevel"/>
    <w:tmpl w:val="3C56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C2030"/>
    <w:multiLevelType w:val="multilevel"/>
    <w:tmpl w:val="1E6E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07AB"/>
    <w:multiLevelType w:val="multilevel"/>
    <w:tmpl w:val="9C06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268E4"/>
    <w:multiLevelType w:val="multilevel"/>
    <w:tmpl w:val="8B2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84B45"/>
    <w:multiLevelType w:val="multilevel"/>
    <w:tmpl w:val="971E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26656"/>
    <w:multiLevelType w:val="multilevel"/>
    <w:tmpl w:val="6BBC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F0015"/>
    <w:multiLevelType w:val="multilevel"/>
    <w:tmpl w:val="9FDE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76C2C"/>
    <w:multiLevelType w:val="multilevel"/>
    <w:tmpl w:val="215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82C3A"/>
    <w:multiLevelType w:val="multilevel"/>
    <w:tmpl w:val="D59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F0DD4"/>
    <w:multiLevelType w:val="multilevel"/>
    <w:tmpl w:val="5BE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533832">
    <w:abstractNumId w:val="0"/>
  </w:num>
  <w:num w:numId="2" w16cid:durableId="1593390414">
    <w:abstractNumId w:val="7"/>
  </w:num>
  <w:num w:numId="3" w16cid:durableId="1882668917">
    <w:abstractNumId w:val="3"/>
  </w:num>
  <w:num w:numId="4" w16cid:durableId="1173300390">
    <w:abstractNumId w:val="2"/>
  </w:num>
  <w:num w:numId="5" w16cid:durableId="508644256">
    <w:abstractNumId w:val="1"/>
  </w:num>
  <w:num w:numId="6" w16cid:durableId="63071198">
    <w:abstractNumId w:val="6"/>
  </w:num>
  <w:num w:numId="7" w16cid:durableId="1869827103">
    <w:abstractNumId w:val="9"/>
  </w:num>
  <w:num w:numId="8" w16cid:durableId="1525972212">
    <w:abstractNumId w:val="10"/>
  </w:num>
  <w:num w:numId="9" w16cid:durableId="1413890233">
    <w:abstractNumId w:val="8"/>
  </w:num>
  <w:num w:numId="10" w16cid:durableId="1007555199">
    <w:abstractNumId w:val="4"/>
  </w:num>
  <w:num w:numId="11" w16cid:durableId="954292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F3"/>
    <w:rsid w:val="00321982"/>
    <w:rsid w:val="00586206"/>
    <w:rsid w:val="005D6E21"/>
    <w:rsid w:val="00647D1C"/>
    <w:rsid w:val="00912701"/>
    <w:rsid w:val="009353F3"/>
    <w:rsid w:val="00AB3FBD"/>
    <w:rsid w:val="00B94D09"/>
    <w:rsid w:val="00E74C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B64B"/>
  <w15:chartTrackingRefBased/>
  <w15:docId w15:val="{B035AE83-FF4B-4917-B260-E39B141A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3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353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353F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353F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353F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353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53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53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53F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3F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353F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353F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353F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353F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353F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53F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53F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53F3"/>
    <w:rPr>
      <w:rFonts w:eastAsiaTheme="majorEastAsia" w:cstheme="majorBidi"/>
      <w:color w:val="272727" w:themeColor="text1" w:themeTint="D8"/>
    </w:rPr>
  </w:style>
  <w:style w:type="paragraph" w:styleId="Ttulo">
    <w:name w:val="Title"/>
    <w:basedOn w:val="Normal"/>
    <w:next w:val="Normal"/>
    <w:link w:val="TtuloChar"/>
    <w:uiPriority w:val="10"/>
    <w:qFormat/>
    <w:rsid w:val="0093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5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53F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53F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53F3"/>
    <w:pPr>
      <w:spacing w:before="160"/>
      <w:jc w:val="center"/>
    </w:pPr>
    <w:rPr>
      <w:i/>
      <w:iCs/>
      <w:color w:val="404040" w:themeColor="text1" w:themeTint="BF"/>
    </w:rPr>
  </w:style>
  <w:style w:type="character" w:customStyle="1" w:styleId="CitaoChar">
    <w:name w:val="Citação Char"/>
    <w:basedOn w:val="Fontepargpadro"/>
    <w:link w:val="Citao"/>
    <w:uiPriority w:val="29"/>
    <w:rsid w:val="009353F3"/>
    <w:rPr>
      <w:i/>
      <w:iCs/>
      <w:color w:val="404040" w:themeColor="text1" w:themeTint="BF"/>
    </w:rPr>
  </w:style>
  <w:style w:type="paragraph" w:styleId="PargrafodaLista">
    <w:name w:val="List Paragraph"/>
    <w:basedOn w:val="Normal"/>
    <w:uiPriority w:val="34"/>
    <w:qFormat/>
    <w:rsid w:val="009353F3"/>
    <w:pPr>
      <w:ind w:left="720"/>
      <w:contextualSpacing/>
    </w:pPr>
  </w:style>
  <w:style w:type="character" w:styleId="nfaseIntensa">
    <w:name w:val="Intense Emphasis"/>
    <w:basedOn w:val="Fontepargpadro"/>
    <w:uiPriority w:val="21"/>
    <w:qFormat/>
    <w:rsid w:val="009353F3"/>
    <w:rPr>
      <w:i/>
      <w:iCs/>
      <w:color w:val="2F5496" w:themeColor="accent1" w:themeShade="BF"/>
    </w:rPr>
  </w:style>
  <w:style w:type="paragraph" w:styleId="CitaoIntensa">
    <w:name w:val="Intense Quote"/>
    <w:basedOn w:val="Normal"/>
    <w:next w:val="Normal"/>
    <w:link w:val="CitaoIntensaChar"/>
    <w:uiPriority w:val="30"/>
    <w:qFormat/>
    <w:rsid w:val="00935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353F3"/>
    <w:rPr>
      <w:i/>
      <w:iCs/>
      <w:color w:val="2F5496" w:themeColor="accent1" w:themeShade="BF"/>
    </w:rPr>
  </w:style>
  <w:style w:type="character" w:styleId="RefernciaIntensa">
    <w:name w:val="Intense Reference"/>
    <w:basedOn w:val="Fontepargpadro"/>
    <w:uiPriority w:val="32"/>
    <w:qFormat/>
    <w:rsid w:val="009353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4150</Words>
  <Characters>22412</Characters>
  <Application>Microsoft Office Word</Application>
  <DocSecurity>0</DocSecurity>
  <Lines>186</Lines>
  <Paragraphs>53</Paragraphs>
  <ScaleCrop>false</ScaleCrop>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Roberto L. de F. Junior</dc:creator>
  <cp:keywords/>
  <dc:description/>
  <cp:lastModifiedBy>Paulo Roberto L. de F. Junior</cp:lastModifiedBy>
  <cp:revision>6</cp:revision>
  <dcterms:created xsi:type="dcterms:W3CDTF">2025-09-28T13:28:00Z</dcterms:created>
  <dcterms:modified xsi:type="dcterms:W3CDTF">2025-09-28T17:25:00Z</dcterms:modified>
</cp:coreProperties>
</file>