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Camino a seguir de la tesina</w:t>
      </w:r>
    </w:p>
    <w:p>
      <w:pPr>
        <w:jc w:val="center"/>
      </w:pPr>
      <w:r>
        <w:rPr>
          <w:i/>
        </w:rPr>
        <w:t>Proyecto: Anclaje de las expectativas de inflación en Guatemala</w:t>
        <w:br/>
      </w:r>
      <w:r>
        <w:rPr>
          <w:b/>
        </w:rPr>
        <w:t>Síntesis operativa de la estrategia de investigación</w:t>
      </w:r>
    </w:p>
    <w:p/>
    <w:tbl>
      <w:tblPr>
        <w:tblW w:type="auto" w:w="0"/>
        <w:jc w:val="center"/>
        <w:tblLayout w:type="fixed"/>
        <w:tblLook w:firstColumn="1" w:firstRow="1" w:lastColumn="0" w:lastRow="0" w:noHBand="0" w:noVBand="1" w:val="04A0"/>
      </w:tblPr>
      <w:tblGrid>
        <w:gridCol w:w="8787"/>
      </w:tblGrid>
      <w:tr>
        <w:tc>
          <w:tcPr>
            <w:tcW w:type="dxa" w:w="8787"/>
            <w:vAlign w:val="center"/>
            <w:shd w:fill="EAF2F8"/>
          </w:tcPr>
          <w:p>
            <w:pPr>
              <w:spacing w:before="80" w:after="80"/>
            </w:pPr>
            <w:r>
              <w:rPr>
                <w:sz w:val="22"/>
              </w:rPr>
              <w:t>Este documento resume la ruta metodológica acordada para la tesina. La lógica general es utilizar el working paper base del FMI como modelo lineal de referencia, y a partir de esa base evaluar si el anclaje de las expectativas de inflación en Guatemala es simétrico o asimétrico, especialmente alrededor de la meta de inflación.</w:t>
            </w:r>
          </w:p>
        </w:tc>
      </w:tr>
    </w:tbl>
    <w:p/>
    <w:p>
      <w:pPr>
        <w:pStyle w:val="Heading1"/>
      </w:pPr>
      <w:r>
        <w:t>1. Propósito general del estudio</w:t>
      </w:r>
    </w:p>
    <w:p>
      <w:r>
        <w:t>El estudio busca determinar qué factores explican la dinámica de las expectativas de inflación en Guatemala y si su proceso de ajuste presenta simetrías o asimetrías bajo el régimen de metas explícitas de inflación.</w:t>
      </w:r>
    </w:p>
    <w:p>
      <w:r>
        <w:t>La idea central no es únicamente replicar un ejercicio econométrico, sino usar una especificación base ya validada en la literatura reciente para construir una extensión propia, enfocada en la dependencia del estado y en la reacción de las expectativas cuando la inflación se desvía de la meta.</w:t>
      </w:r>
    </w:p>
    <w:p>
      <w:pPr>
        <w:pStyle w:val="Heading1"/>
      </w:pPr>
      <w:r>
        <w:t>2. Qué intenta hacer primero el working paper base</w:t>
      </w:r>
    </w:p>
    <w:p>
      <w:r>
        <w:t>El baseline del working paper del FMI tiene un objetivo inicial claramente lineal: identificar los determinantes promedio de las expectativas de inflación de mediano plazo.</w:t>
      </w:r>
    </w:p>
    <w:p>
      <w:r>
        <w:t>En esa primera etapa, el interés no es probar no linealidades ni asimetrías, sino establecer una línea base empírica sobre el papel de la inflación observada, la inercia de expectativas, la postura monetaria, la actividad económica, el tipo de cambio, la posición fiscal y las condiciones externas.</w:t>
      </w:r>
    </w:p>
    <w:p>
      <w:r>
        <w:t>Por tanto, en la tesina ese baseline debe entenderse como una plataforma de referencia, no como el objetivo final de la investigación.</w:t>
      </w:r>
    </w:p>
    <w:p>
      <w:pPr>
        <w:pStyle w:val="Heading1"/>
      </w:pPr>
      <w:r>
        <w:t>3. Camino a seguir: secuencia de trabajo</w:t>
      </w:r>
    </w:p>
    <w:tbl>
      <w:tblPr>
        <w:tblStyle w:val="TableGrid"/>
        <w:tblW w:type="auto" w:w="0"/>
        <w:jc w:val="center"/>
        <w:tblLook w:firstColumn="1" w:firstRow="1" w:lastColumn="0" w:lastRow="0" w:noHBand="0" w:noVBand="1" w:val="04A0"/>
      </w:tblPr>
      <w:tblGrid>
        <w:gridCol w:w="2351"/>
        <w:gridCol w:w="2351"/>
        <w:gridCol w:w="2351"/>
        <w:gridCol w:w="2351"/>
      </w:tblGrid>
      <w:tr>
        <w:trPr>
          <w:tblHeader w:val="true"/>
        </w:trPr>
        <w:tc>
          <w:tcPr>
            <w:tcW w:type="dxa" w:w="1701"/>
            <w:vAlign w:val="center"/>
            <w:shd w:fill="D9EAF7"/>
          </w:tcPr>
          <w:p>
            <w:pPr>
              <w:jc w:val="center"/>
            </w:pPr>
            <w:r>
              <w:rPr>
                <w:b/>
                <w:sz w:val="22"/>
              </w:rPr>
              <w:t>Etapa</w:t>
            </w:r>
          </w:p>
        </w:tc>
        <w:tc>
          <w:tcPr>
            <w:tcW w:type="dxa" w:w="2381"/>
            <w:vAlign w:val="center"/>
            <w:shd w:fill="D9EAF7"/>
          </w:tcPr>
          <w:p>
            <w:pPr>
              <w:jc w:val="center"/>
            </w:pPr>
            <w:r>
              <w:rPr>
                <w:b/>
                <w:sz w:val="22"/>
              </w:rPr>
              <w:t>Objetivo</w:t>
            </w:r>
          </w:p>
        </w:tc>
        <w:tc>
          <w:tcPr>
            <w:tcW w:type="dxa" w:w="2948"/>
            <w:vAlign w:val="center"/>
            <w:shd w:fill="D9EAF7"/>
          </w:tcPr>
          <w:p>
            <w:pPr>
              <w:jc w:val="center"/>
            </w:pPr>
            <w:r>
              <w:rPr>
                <w:b/>
                <w:sz w:val="22"/>
              </w:rPr>
              <w:t>Qué se estimará</w:t>
            </w:r>
          </w:p>
        </w:tc>
        <w:tc>
          <w:tcPr>
            <w:tcW w:type="dxa" w:w="1814"/>
            <w:vAlign w:val="center"/>
            <w:shd w:fill="D9EAF7"/>
          </w:tcPr>
          <w:p>
            <w:pPr>
              <w:jc w:val="center"/>
            </w:pPr>
            <w:r>
              <w:rPr>
                <w:b/>
                <w:sz w:val="22"/>
              </w:rPr>
              <w:t>Aporte</w:t>
            </w:r>
          </w:p>
        </w:tc>
      </w:tr>
      <w:tr>
        <w:tc>
          <w:tcPr>
            <w:tcW w:type="dxa" w:w="1701"/>
            <w:vAlign w:val="center"/>
          </w:tcPr>
          <w:p>
            <w:pPr>
              <w:spacing w:after="40"/>
            </w:pPr>
            <w:r>
              <w:rPr>
                <w:sz w:val="21"/>
              </w:rPr>
              <w:t>Etapa 1. Baseline FMI</w:t>
            </w:r>
          </w:p>
        </w:tc>
        <w:tc>
          <w:tcPr>
            <w:tcW w:type="dxa" w:w="2381"/>
            <w:vAlign w:val="center"/>
          </w:tcPr>
          <w:p>
            <w:pPr>
              <w:spacing w:after="40"/>
            </w:pPr>
            <w:r>
              <w:rPr>
                <w:sz w:val="21"/>
              </w:rPr>
              <w:t>Replicar el modelo lineal de referencia para identificar los determinantes promedio de las expectativas de inflación, especialmente a 24 meses.</w:t>
            </w:r>
          </w:p>
        </w:tc>
        <w:tc>
          <w:tcPr>
            <w:tcW w:type="dxa" w:w="2948"/>
            <w:vAlign w:val="center"/>
          </w:tcPr>
          <w:p>
            <w:pPr>
              <w:spacing w:after="40"/>
            </w:pPr>
            <w:r>
              <w:rPr>
                <w:sz w:val="21"/>
              </w:rPr>
              <w:t>Ecuación base con expectativas rezagadas, inflación observada rezagada, cambios en la tasa de política, IMAE, tipo de cambio, déficit fiscal y variables externas.</w:t>
            </w:r>
          </w:p>
        </w:tc>
        <w:tc>
          <w:tcPr>
            <w:tcW w:type="dxa" w:w="1814"/>
            <w:vAlign w:val="center"/>
          </w:tcPr>
          <w:p>
            <w:pPr>
              <w:spacing w:after="40"/>
            </w:pPr>
            <w:r>
              <w:rPr>
                <w:sz w:val="21"/>
              </w:rPr>
              <w:t>Establece una línea base empírica y ordena la evidencia inicial.</w:t>
            </w:r>
          </w:p>
        </w:tc>
      </w:tr>
      <w:tr>
        <w:tc>
          <w:tcPr>
            <w:tcW w:type="dxa" w:w="1701"/>
            <w:vAlign w:val="center"/>
          </w:tcPr>
          <w:p>
            <w:pPr>
              <w:spacing w:after="40"/>
            </w:pPr>
            <w:r>
              <w:rPr>
                <w:sz w:val="21"/>
              </w:rPr>
              <w:t>Etapa 2. Lectura en clave de anclaje</w:t>
            </w:r>
          </w:p>
        </w:tc>
        <w:tc>
          <w:tcPr>
            <w:tcW w:type="dxa" w:w="2381"/>
            <w:vAlign w:val="center"/>
          </w:tcPr>
          <w:p>
            <w:pPr>
              <w:spacing w:after="40"/>
            </w:pPr>
            <w:r>
              <w:rPr>
                <w:sz w:val="21"/>
              </w:rPr>
              <w:t>Interpretar los resultados del baseline para evaluar si las expectativas de mediano plazo están firmemente ancladas o si responden de forma importante a shocks transitorios.</w:t>
            </w:r>
          </w:p>
        </w:tc>
        <w:tc>
          <w:tcPr>
            <w:tcW w:type="dxa" w:w="2948"/>
            <w:vAlign w:val="center"/>
          </w:tcPr>
          <w:p>
            <w:pPr>
              <w:spacing w:after="40"/>
            </w:pPr>
            <w:r>
              <w:rPr>
                <w:sz w:val="21"/>
              </w:rPr>
              <w:t>Comparación del peso de la inflación observada, la persistencia de expectativas y la reacción ante shocks cambiarios y externos.</w:t>
            </w:r>
          </w:p>
        </w:tc>
        <w:tc>
          <w:tcPr>
            <w:tcW w:type="dxa" w:w="1814"/>
            <w:vAlign w:val="center"/>
          </w:tcPr>
          <w:p>
            <w:pPr>
              <w:spacing w:after="40"/>
            </w:pPr>
            <w:r>
              <w:rPr>
                <w:sz w:val="21"/>
              </w:rPr>
              <w:t>Conecta el modelo econométrico con el concepto central de anclaje.</w:t>
            </w:r>
          </w:p>
        </w:tc>
      </w:tr>
      <w:tr>
        <w:tc>
          <w:tcPr>
            <w:tcW w:type="dxa" w:w="1701"/>
            <w:vAlign w:val="center"/>
          </w:tcPr>
          <w:p>
            <w:pPr>
              <w:spacing w:after="40"/>
            </w:pPr>
            <w:r>
              <w:rPr>
                <w:sz w:val="21"/>
              </w:rPr>
              <w:t>Etapa 3. Extensión propia</w:t>
            </w:r>
          </w:p>
        </w:tc>
        <w:tc>
          <w:tcPr>
            <w:tcW w:type="dxa" w:w="2381"/>
            <w:vAlign w:val="center"/>
          </w:tcPr>
          <w:p>
            <w:pPr>
              <w:spacing w:after="40"/>
            </w:pPr>
            <w:r>
              <w:rPr>
                <w:sz w:val="21"/>
              </w:rPr>
              <w:t>Probar si el anclaje es simétrico o asimétrico, tanto en episodios de inflación alta como alrededor de la meta de inflación.</w:t>
            </w:r>
          </w:p>
        </w:tc>
        <w:tc>
          <w:tcPr>
            <w:tcW w:type="dxa" w:w="2948"/>
            <w:vAlign w:val="center"/>
          </w:tcPr>
          <w:p>
            <w:pPr>
              <w:spacing w:after="40"/>
            </w:pPr>
            <w:r>
              <w:rPr>
                <w:sz w:val="21"/>
              </w:rPr>
              <w:t>Modelos con no linealidades, interacciones o descomposición de la brecha de inflación respecto de la meta en componente positiva y negativa.</w:t>
            </w:r>
          </w:p>
        </w:tc>
        <w:tc>
          <w:tcPr>
            <w:tcW w:type="dxa" w:w="1814"/>
            <w:vAlign w:val="center"/>
          </w:tcPr>
          <w:p>
            <w:pPr>
              <w:spacing w:after="40"/>
            </w:pPr>
            <w:r>
              <w:rPr>
                <w:sz w:val="21"/>
              </w:rPr>
              <w:t>Constituye el aporte original de la tesina frente al working paper base.</w:t>
            </w:r>
          </w:p>
        </w:tc>
      </w:tr>
    </w:tbl>
    <w:p/>
    <w:p>
      <w:pPr>
        <w:pStyle w:val="Heading1"/>
      </w:pPr>
      <w:r>
        <w:t>4. Qué intentará probar la tesina</w:t>
      </w:r>
    </w:p>
    <w:p>
      <w:r>
        <w:t>La tesina intentará demostrar que las expectativas de inflación en Guatemala no solo dependen de sus determinantes macroeconómicos promedio, sino que su grado de anclaje puede variar según el estado inflacionario.</w:t>
      </w:r>
    </w:p>
    <w:p>
      <w:r>
        <w:t>En particular, el estudio buscará evidencia sobre dos hipótesis complementarias. Primero, que la sensibilidad de las expectativas aumenta en episodios de inflación elevada o de mayores presiones macroeconómicas. Segundo, que la respuesta de las expectativas puede no ser simétrica alrededor de la meta de inflación, es decir, que desviaciones al alza y a la baja no generan necesariamente ajustes de igual magnitud.</w:t>
      </w:r>
    </w:p>
    <w:p>
      <w:pPr>
        <w:pStyle w:val="Heading1"/>
      </w:pPr>
      <w:r>
        <w:t>5. Variables y horizonte de análisis prioritario</w:t>
      </w:r>
    </w:p>
    <w:p>
      <w:r>
        <w:t>El horizonte de análisis prioritario será el de expectativas a 24 meses, por ser el más cercano al concepto de anclaje de mediano plazo bajo metas explícitas de inflación. Las expectativas a 12 meses podrán utilizarse como ejercicio complementario o de contraste.</w:t>
      </w:r>
    </w:p>
    <w:p>
      <w:r>
        <w:t>La especificación base incluirá, al menos, inflación observada rezagada, expectativas rezagadas, cambio de la tasa de política monetaria, actividad económica, variación interanual del tipo de cambio, déficit fiscal como porcentaje del PIB, cambio de la Effective Federal Funds Rate, cambio en la inflación de Estados Unidos y variación interanual del precio del petróleo.</w:t>
      </w:r>
    </w:p>
    <w:p>
      <w:pPr>
        <w:pStyle w:val="Heading1"/>
      </w:pPr>
      <w:r>
        <w:t>6. Extensión específica sobre simetría alrededor de la meta</w:t>
      </w:r>
    </w:p>
    <w:p>
      <w:r>
        <w:t>Como objetivo específico adicional, se evaluará si la reacción de las expectativas es simétrica alrededor de la meta de inflación. Conceptualmente, esto implica contrastar si las desviaciones positivas de la inflación respecto de la meta generan una respuesta equivalente, mayor o menor que las desviaciones negativas.</w:t>
      </w:r>
    </w:p>
    <w:p>
      <w:r>
        <w:t>La forma más directa de modelarlo es construir una brecha de inflación respecto de la meta y separarla en dos componentes: una brecha positiva y una brecha negativa. Ello permitirá contrastar formalmente si los coeficientes asociados a ambas son estadísticamente iguales o distintos.</w:t>
      </w:r>
    </w:p>
    <w:p>
      <w:pPr>
        <w:pStyle w:val="Heading1"/>
      </w:pPr>
      <w:r>
        <w:t>7. Resultado esperado del proyecto</w:t>
      </w:r>
    </w:p>
    <w:p>
      <w:r>
        <w:t>Al finalizar la investigación, se espera contar con evidencia empírica que permita concluir si las expectativas de inflación en Guatemala permanecen relativamente ancladas a mediano plazo o si, por el contrario, reaccionan de manera significativa y asimétrica a la inflación observada, a la política monetaria y a determinados shocks internos y externos. Esa evidencia permitirá caracterizar la fortaleza del esquema de metas explícitas de inflación y aportar una lectura aplicada para el caso guatemalteco.</w:t>
      </w:r>
    </w:p>
    <w:p>
      <w:pPr>
        <w:pStyle w:val="Heading1"/>
      </w:pPr>
      <w:r>
        <w:t>8. Formulación sintética del aporte</w:t>
      </w:r>
    </w:p>
    <w:p>
      <w:pPr>
        <w:spacing w:before="80" w:after="80"/>
        <w:ind w:left="567" w:right="567"/>
      </w:pPr>
      <w:r>
        <w:rPr>
          <w:i/>
        </w:rPr>
        <w:t>La tesina utilizará el baseline del FMI como punto de partida para evaluar si el anclaje de las expectativas de inflación en Guatemala es lineal y estable, o si presenta asimetrías vinculadas al estado inflacionario y a la posición de la inflación respecto de la meta.</w:t>
      </w:r>
    </w:p>
    <w:p/>
    <w:p>
      <w:pPr>
        <w:jc w:val="right"/>
      </w:pPr>
      <w:r>
        <w:rPr>
          <w:i/>
          <w:color w:val="646464"/>
          <w:sz w:val="20"/>
        </w:rPr>
        <w:t>Documento de trabajo interno</w:t>
      </w:r>
    </w:p>
    <w:sectPr w:rsidR="00FC693F" w:rsidRPr="0006063C"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37373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