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D4F3" w14:textId="77777777" w:rsidR="00B773AA" w:rsidRPr="003E0024" w:rsidRDefault="00B773AA" w:rsidP="00B773AA">
      <w:pPr>
        <w:spacing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  <w:t>ANTEPROYECTO DE INVESTIGACIÓN</w:t>
      </w:r>
    </w:p>
    <w:p w14:paraId="21EC566E" w14:textId="77777777" w:rsidR="00B773AA" w:rsidRPr="003E0024" w:rsidRDefault="00B773AA" w:rsidP="00B773AA">
      <w:pPr>
        <w:spacing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  <w:t>Seminario de Investigación – Fase I</w:t>
      </w:r>
    </w:p>
    <w:p w14:paraId="02BC7FE0" w14:textId="77777777" w:rsidR="00B773AA" w:rsidRPr="003E0024" w:rsidRDefault="00B773AA" w:rsidP="00B773A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b/>
          <w:bCs/>
          <w:sz w:val="24"/>
          <w:szCs w:val="24"/>
          <w:lang w:val="es-ES_tradnl" w:eastAsia="es-GT"/>
        </w:rPr>
        <w:t>Maestría en Economía y Finanzas Aplicadas</w:t>
      </w:r>
    </w:p>
    <w:p w14:paraId="36ACE8C6" w14:textId="35661C01" w:rsidR="00CA3233" w:rsidRPr="003E0024" w:rsidRDefault="00CA3233" w:rsidP="00B773A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b/>
          <w:bCs/>
          <w:sz w:val="24"/>
          <w:szCs w:val="24"/>
          <w:lang w:val="es-ES_tradnl" w:eastAsia="es-GT"/>
        </w:rPr>
        <w:t>Estudiante: Paulo Augusto Garrido Grijalva</w:t>
      </w:r>
    </w:p>
    <w:p w14:paraId="1482538C" w14:textId="77777777" w:rsidR="00B773AA" w:rsidRPr="003E0024" w:rsidRDefault="00B773AA" w:rsidP="00B773AA">
      <w:pPr>
        <w:pStyle w:val="Prrafodelista"/>
        <w:numPr>
          <w:ilvl w:val="0"/>
          <w:numId w:val="3"/>
        </w:numPr>
        <w:spacing w:beforeAutospacing="1" w:after="100" w:afterAutospacing="1" w:line="240" w:lineRule="auto"/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  <w:t>Título provisional de la investigación</w:t>
      </w:r>
    </w:p>
    <w:p w14:paraId="064361D6" w14:textId="02593630" w:rsidR="00FB0F82" w:rsidRPr="003E0024" w:rsidRDefault="00FB0F82" w:rsidP="00B773A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b/>
          <w:bCs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b/>
          <w:bCs/>
          <w:sz w:val="24"/>
          <w:szCs w:val="24"/>
          <w:lang w:val="es-ES_tradnl" w:eastAsia="es-GT"/>
        </w:rPr>
        <w:t>“Asimetrías en el anclaje de las expectativas de inflación en Guatemala: evidencia de dependencia del estado bajo metas explícitas (2005–2024)”</w:t>
      </w:r>
    </w:p>
    <w:p w14:paraId="380007AC" w14:textId="77777777" w:rsidR="00B773AA" w:rsidRPr="003E0024" w:rsidRDefault="00B773AA" w:rsidP="00B773AA">
      <w:pPr>
        <w:pStyle w:val="Prrafodelista"/>
        <w:numPr>
          <w:ilvl w:val="0"/>
          <w:numId w:val="3"/>
        </w:numPr>
        <w:spacing w:beforeAutospacing="1" w:after="100" w:afterAutospacing="1" w:line="240" w:lineRule="auto"/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  <w:t>Área de investigación</w:t>
      </w:r>
    </w:p>
    <w:p w14:paraId="74332434" w14:textId="31D2F726" w:rsidR="00B773AA" w:rsidRPr="003E0024" w:rsidRDefault="00B773AA" w:rsidP="00B773A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b/>
          <w:bCs/>
          <w:sz w:val="24"/>
          <w:szCs w:val="24"/>
          <w:lang w:val="es-ES_tradnl" w:eastAsia="es-GT"/>
        </w:rPr>
        <w:t>Política monetaria</w:t>
      </w:r>
      <w:r w:rsidR="00FB0F82" w:rsidRPr="003E0024">
        <w:rPr>
          <w:rFonts w:ascii="Book Antiqua" w:eastAsia="Times New Roman" w:hAnsi="Book Antiqua" w:cs="Times New Roman"/>
          <w:b/>
          <w:bCs/>
          <w:sz w:val="24"/>
          <w:szCs w:val="24"/>
          <w:lang w:val="es-ES_tradnl" w:eastAsia="es-GT"/>
        </w:rPr>
        <w:t xml:space="preserve"> y </w:t>
      </w:r>
      <w:r w:rsidR="003B5774">
        <w:rPr>
          <w:rFonts w:ascii="Book Antiqua" w:eastAsia="Times New Roman" w:hAnsi="Book Antiqua" w:cs="Times New Roman"/>
          <w:b/>
          <w:bCs/>
          <w:sz w:val="24"/>
          <w:szCs w:val="24"/>
          <w:lang w:val="es-ES_tradnl" w:eastAsia="es-GT"/>
        </w:rPr>
        <w:t>expectativas</w:t>
      </w:r>
    </w:p>
    <w:p w14:paraId="6900CD1C" w14:textId="77777777" w:rsidR="00B773AA" w:rsidRPr="003E0024" w:rsidRDefault="00B773AA" w:rsidP="00B773AA">
      <w:pPr>
        <w:pStyle w:val="Prrafodelista"/>
        <w:numPr>
          <w:ilvl w:val="0"/>
          <w:numId w:val="3"/>
        </w:numPr>
        <w:spacing w:beforeAutospacing="1" w:after="100" w:afterAutospacing="1" w:line="240" w:lineRule="auto"/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  <w:t>Exploración temática (lluvia de ideas estructurada)</w:t>
      </w:r>
    </w:p>
    <w:p w14:paraId="63D87FD9" w14:textId="7BECB54D" w:rsidR="00FB0F82" w:rsidRPr="003E0024" w:rsidRDefault="00FB0F82" w:rsidP="00FB0F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En un régimen de metas explícitas de inflación, el anclaje de expectativas cumple un rol operativo y reputacional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fundamentalmente por dos motivos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: por un lado, ayuda a reducir la persistencia inflacionaria, y por el otro, disminuye el costo real de la desinflación cuando ocurren choques. Sin embargo, la evidencia internacional y la experiencia reciente sugieren que el anclaje no necesariamente es uniforme a lo largo del tiempo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; es decir, tiende a presentar </w:t>
      </w:r>
      <w:r w:rsidR="003E0024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asimetrías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.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En particular, durante episodios de inflación alta —cuando la inflación observada se aleja de la meta o se mantiene fuera del rango objetivo— la formación de expectativas puede volverse más adaptativa, intensificando la sensibilidad de las expectativas a la inflación corriente y a variables externas como el tipo de cambio o los precios de materias primas.</w:t>
      </w:r>
    </w:p>
    <w:p w14:paraId="6690E0FB" w14:textId="3D22A3F1" w:rsidR="00FB0F82" w:rsidRPr="003E0024" w:rsidRDefault="00FB0F82" w:rsidP="00FB0F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En este contexto, 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Guatemala es un caso empíricamente atractivo para estudiar este fenómeno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en virtud de </w:t>
      </w:r>
      <w:r w:rsidR="003E0024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que,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d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esde la adopción del esquema de metas explícitas, el país ha mantenido un desempeño inflacionario relativamente estable; sin embargo, los choques globales recientes (presiones en energía y alimentos, disrupciones de oferta y endurecimiento de condiciones financieras internacionales) elevaron la inflación y pusieron a prueba la credibilidad del marco. En ese 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sentido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, evaluar si el anclaje se mantiene estable o se debilita en “estados” de inflación alta es relevante tanto para la comprensión del mecanismo de transmisión como para la discusión de política monetaria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.</w:t>
      </w:r>
    </w:p>
    <w:p w14:paraId="68FF904B" w14:textId="77777777" w:rsidR="00B773AA" w:rsidRPr="003E0024" w:rsidRDefault="00B773AA" w:rsidP="00B773AA">
      <w:pPr>
        <w:pStyle w:val="Prrafodelista"/>
        <w:numPr>
          <w:ilvl w:val="0"/>
          <w:numId w:val="3"/>
        </w:numPr>
        <w:spacing w:beforeAutospacing="1" w:after="100" w:afterAutospacing="1" w:line="240" w:lineRule="auto"/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  <w:t>Delimitación del problema de investigación</w:t>
      </w:r>
    </w:p>
    <w:p w14:paraId="38B80961" w14:textId="544F4947" w:rsidR="00CF748A" w:rsidRDefault="00CF748A" w:rsidP="004352D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 w:rsidRPr="00CF748A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La literatura sobre inflación y expectativas suele enfatizar relaciones promedio (lineales) entre la inflación, indicadores de actividad y condiciones </w:t>
      </w:r>
      <w:proofErr w:type="spellStart"/>
      <w:r w:rsidRPr="00CF748A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macrofinancieras</w:t>
      </w:r>
      <w:proofErr w:type="spellEnd"/>
      <w:r w:rsidRPr="00CF748A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—como el tipo de cambio— y el proceso de formación de expectativas. Sin embargo, </w:t>
      </w:r>
      <w:r w:rsidRPr="00CF748A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lastRenderedPageBreak/>
        <w:t xml:space="preserve">para fines de política monetaria, una especificación estrictamente lineal puede ocultar cambios relevantes en el comportamiento de los agentes: por ejemplo, el componente adaptativo de las expectativas podría intensificarse durante episodios de inflación elevada, aun cuando en </w:t>
      </w:r>
      <w:r w:rsidR="0008343B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período</w:t>
      </w:r>
      <w:r w:rsidRPr="00CF748A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s de inflación contenida las expectativas se mantengan relativamente estables.</w:t>
      </w:r>
    </w:p>
    <w:p w14:paraId="534941A8" w14:textId="7A6B2253" w:rsidR="004352D1" w:rsidRPr="003E0024" w:rsidRDefault="007D4B4F" w:rsidP="004352D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En consecuencia</w:t>
      </w:r>
      <w:r w:rsidR="004352D1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</w:t>
      </w:r>
      <w:r w:rsidR="004352D1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la investigación busca </w:t>
      </w:r>
      <w:r w:rsidR="004352D1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delimita</w:t>
      </w:r>
      <w:r w:rsidR="004352D1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r</w:t>
      </w:r>
      <w:r w:rsidR="004352D1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el problema a identificar y cuantificar asimetrías (dependencia del estado) en el anclaje de expectativas. </w:t>
      </w:r>
      <w:r w:rsidR="004352D1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Es decir, e</w:t>
      </w:r>
      <w:r w:rsidR="004352D1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n términos operativos, se evaluará si la sensibilidad de </w:t>
      </w:r>
      <w:r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las </w:t>
      </w:r>
      <w:r w:rsidR="004352D1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expectativas a la inflación observada y a la postura de política monetaria cambia de manera estadísticamente significativa cuando la inflación se ubica por encima del rango objetivo o supera un umbral definido (por </w:t>
      </w:r>
      <w:r w:rsidR="003E0024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ejemplo,</w:t>
      </w:r>
      <w:r w:rsidR="004352D1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se piensa en</w:t>
      </w:r>
      <w:r w:rsidR="004352D1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percentiles altos de la inflación interanual). El análisis se circunscribe a Guatemala, con frecuencia mensua</w:t>
      </w:r>
      <w:r w:rsidR="00F66793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l, para </w:t>
      </w:r>
      <w:r w:rsidR="004352D1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al período 2005–2024 (</w:t>
      </w:r>
      <w:r w:rsidR="004352D1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el </w:t>
      </w:r>
      <w:r w:rsidR="0008343B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período</w:t>
      </w:r>
      <w:r w:rsidR="004352D1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se </w:t>
      </w:r>
      <w:r w:rsidR="00654D57" w:rsidRPr="00654D57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ajustará</w:t>
      </w:r>
      <w:r w:rsidR="00654D57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r w:rsidR="004352D1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dependiendo la data disponible de expectativas</w:t>
      </w:r>
      <w:r w:rsidR="004352D1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).</w:t>
      </w:r>
    </w:p>
    <w:p w14:paraId="7CDCD950" w14:textId="77777777" w:rsidR="00B773AA" w:rsidRPr="003E0024" w:rsidRDefault="00B773AA" w:rsidP="00B773AA">
      <w:pPr>
        <w:pStyle w:val="Prrafodelista"/>
        <w:numPr>
          <w:ilvl w:val="0"/>
          <w:numId w:val="3"/>
        </w:numPr>
        <w:spacing w:beforeAutospacing="1" w:after="100" w:afterAutospacing="1" w:line="240" w:lineRule="auto"/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  <w:t>Planteamiento del problema</w:t>
      </w:r>
    </w:p>
    <w:p w14:paraId="47C2038C" w14:textId="5015A615" w:rsidR="004352D1" w:rsidRPr="003E0024" w:rsidRDefault="004352D1" w:rsidP="004352D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La </w:t>
      </w:r>
      <w:r w:rsidR="003E0024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política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monetaria es fundamental para el adecuado funcionamiento del sistema económico, proporcionando estabilidad y contribuyendo a un ambiente propicio para el desarrollo económico. </w:t>
      </w:r>
      <w:r w:rsidR="00C77585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En consecuencia, su efectividad —entendida como la capacidad de mantener la inflación en torno al objetivo y de amortiguar perturbaciones sin incurrir en costos excesivos sobre la actividad— depende de manera </w:t>
      </w:r>
      <w:r w:rsidR="003E0024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esencial</w:t>
      </w:r>
      <w:r w:rsidR="00C77585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r w:rsidR="00C77585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de los mecanismos de transmisión y, particularmente, del proceso de formación de expectativas.</w:t>
      </w:r>
    </w:p>
    <w:p w14:paraId="758CFA3B" w14:textId="4CF71D71" w:rsidR="00710F96" w:rsidRPr="003E0024" w:rsidRDefault="00710F96" w:rsidP="004352D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En este marco, la credibilidad del objetivo inflacionario y el grado de anclaje de las expectativas condicionan la dinámica de la inflación. Cuando las expectativas permanecen ancladas, los choques de corto plazo tienden a tener efectos </w:t>
      </w:r>
      <w:r w:rsidR="003E0024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transitorios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sobre la inflación, y la política monetaria puede estabilizar con menores costos sobre actividad. Por el contrario, si las expectativas responden de manera excesiva a la inflación observada —especialmente en episodios de inflación alta— se incrementa la persistencia inflacionaria y la política enfrenta un </w:t>
      </w:r>
      <w:proofErr w:type="spellStart"/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trade</w:t>
      </w:r>
      <w:proofErr w:type="spellEnd"/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-off más complejo</w:t>
      </w:r>
      <w:r w:rsid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entre estabilidad de precios y nivel de actividad.</w:t>
      </w:r>
    </w:p>
    <w:p w14:paraId="1FF009AC" w14:textId="6C32D7C8" w:rsidR="004352D1" w:rsidRPr="003E0024" w:rsidRDefault="004352D1" w:rsidP="004352D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En Guatemala, el marco de metas explícitas proporciona un punto de referencia claro para el análisis: la meta es conocida y comunicada, y existe un historial institucional de conducción de la política. Sin embargo, la experiencia reciente sugiere que la inflación alta puede alterar la dinámica de expectativas, al menos a horizontes cortos. En consecuencia, el problema de investigación se centra en determinar si el anclaje es simétrico (estable) o si se debilita en episodios inflacionarios, y en cuantificar la magnitud de dicha variación.</w:t>
      </w:r>
    </w:p>
    <w:p w14:paraId="2FEFED06" w14:textId="1E661D4F" w:rsidR="004352D1" w:rsidRPr="003B5774" w:rsidRDefault="004352D1" w:rsidP="00B773A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</w:p>
    <w:p w14:paraId="018D6F32" w14:textId="77777777" w:rsidR="003E0024" w:rsidRPr="003E0024" w:rsidRDefault="003E0024" w:rsidP="00B773A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</w:p>
    <w:p w14:paraId="3ECFAED6" w14:textId="77777777" w:rsidR="00B773AA" w:rsidRPr="003E0024" w:rsidRDefault="00B773AA" w:rsidP="00B773AA">
      <w:pPr>
        <w:pStyle w:val="Prrafodelista"/>
        <w:numPr>
          <w:ilvl w:val="0"/>
          <w:numId w:val="3"/>
        </w:numPr>
        <w:spacing w:beforeAutospacing="1" w:after="100" w:afterAutospacing="1" w:line="240" w:lineRule="auto"/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  <w:t>Justificación de la investigación</w:t>
      </w:r>
    </w:p>
    <w:p w14:paraId="407323AE" w14:textId="77777777" w:rsidR="00B773AA" w:rsidRPr="003E0024" w:rsidRDefault="00B773AA" w:rsidP="00B773AA">
      <w:pPr>
        <w:pStyle w:val="Prrafodelista"/>
        <w:spacing w:beforeAutospacing="1" w:after="100" w:afterAutospacing="1" w:line="240" w:lineRule="auto"/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</w:pPr>
    </w:p>
    <w:p w14:paraId="1C2C9F2F" w14:textId="77777777" w:rsidR="00B773AA" w:rsidRPr="003E0024" w:rsidRDefault="00B773AA" w:rsidP="00B773AA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  <w:t>Justificación académica</w:t>
      </w:r>
    </w:p>
    <w:p w14:paraId="31EAFF53" w14:textId="5C11A3D4" w:rsidR="00EA7A9D" w:rsidRPr="003E0024" w:rsidRDefault="00EA7A9D" w:rsidP="00EA7A9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Académicamente, este proyecto 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contribuye </w:t>
      </w:r>
      <w:r w:rsidR="00654D57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a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la literatura sobre credibilidad, formación de expectativas y no linealidades en regímenes de metas explícitas, particularmente en economías emergentes expuestas a choques externos. Su contribución principal es aportar evidencia para Guatemala sobre si el proceso de formación de expectativas es estado-dependiente, es decir, si la sensibilidad de las expectativas a la inflación observada se intensifica durante episodios de inflación alta. Este énfasis permite evaluar, en un marco empírico formal, la estabilidad del mecanismo de anclaje y sus implicaciones para la persistencia inflacionaria y la transmisión de la política monetaria en presencia de inflación importada.</w:t>
      </w:r>
    </w:p>
    <w:p w14:paraId="10D11131" w14:textId="77777777" w:rsidR="00B773AA" w:rsidRPr="003E0024" w:rsidRDefault="00B773AA" w:rsidP="00B773AA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  <w:t>Justificación empírica</w:t>
      </w:r>
    </w:p>
    <w:p w14:paraId="281C69F4" w14:textId="2F9AF1BA" w:rsidR="00EA7A9D" w:rsidRPr="003E0024" w:rsidRDefault="00226E98" w:rsidP="00226E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Guatemala ofrece un contexto empírico pertinente para analizar el anclaje de expectativas bajo metas explícitas en una economía pequeña y abierta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; asimismo,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l período propuesto incluye fases de inflación contenida y episodios recientes de inflación elevada asociados a choques externos e inflación importada. 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En este sentido, e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sta variación permite evaluar si la sensibilidad de las expectativas frente a la inflación observada y la postura monetaria es estable o cambia en regímenes de inflación alta. En consecuencia, el estudio aporta evidencia aplicada sobre la 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estabilidad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del mecanismo de anclaje en distintos entornos macroeconómicos.</w:t>
      </w:r>
    </w:p>
    <w:p w14:paraId="2810C954" w14:textId="77777777" w:rsidR="00B773AA" w:rsidRPr="003E0024" w:rsidRDefault="00B773AA" w:rsidP="00B773AA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  <w:t>Justificación institucional y de política económica</w:t>
      </w:r>
    </w:p>
    <w:p w14:paraId="1F9B2D3C" w14:textId="1D1BAF0A" w:rsidR="00EA7A9D" w:rsidRPr="003E0024" w:rsidRDefault="00EA7A9D" w:rsidP="00EA7A9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Desde la perspectiva de política económica, estimar si el anclaje se debilita en inflación alta aporta insumos para la calibración de la reacción de política, el diseño de comunicación y la evaluación de riesgos inflacionarios.</w:t>
      </w:r>
    </w:p>
    <w:p w14:paraId="07F5D37B" w14:textId="77777777" w:rsidR="00B773AA" w:rsidRPr="003E0024" w:rsidRDefault="00B773AA" w:rsidP="00B773AA">
      <w:pPr>
        <w:pStyle w:val="Prrafodelista"/>
        <w:numPr>
          <w:ilvl w:val="0"/>
          <w:numId w:val="3"/>
        </w:numPr>
        <w:spacing w:beforeAutospacing="1" w:after="100" w:afterAutospacing="1" w:line="240" w:lineRule="auto"/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  <w:t>Pregunta de investigación</w:t>
      </w:r>
    </w:p>
    <w:p w14:paraId="7E7F95CC" w14:textId="72CBBE1D" w:rsidR="00614097" w:rsidRPr="003E0024" w:rsidRDefault="00614097" w:rsidP="004F611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¿Existen asimetrías en el anclaje de las expectativas de inflación en Guatemala durante 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el </w:t>
      </w:r>
      <w:r w:rsidR="0008343B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período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2005–2024,</w:t>
      </w:r>
      <w:r w:rsidR="00654D57" w:rsidRPr="00654D57">
        <w:t xml:space="preserve"> </w:t>
      </w:r>
      <w:r w:rsidR="00654D57" w:rsidRPr="00654D57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en el sentido de que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la sensibilidad de las expectativas a la inflación observada y a la postura de política monetaria se incremente en episodios de inflación alta?</w:t>
      </w:r>
    </w:p>
    <w:p w14:paraId="3C778FBE" w14:textId="77777777" w:rsidR="00B773AA" w:rsidRPr="003E0024" w:rsidRDefault="00B773AA" w:rsidP="00B773AA">
      <w:pPr>
        <w:pStyle w:val="Prrafodelista"/>
        <w:numPr>
          <w:ilvl w:val="0"/>
          <w:numId w:val="3"/>
        </w:numPr>
        <w:spacing w:beforeAutospacing="1" w:after="100" w:afterAutospacing="1" w:line="240" w:lineRule="auto"/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  <w:t>Alcances y delimitaciones del estudio</w:t>
      </w:r>
    </w:p>
    <w:p w14:paraId="67479AA8" w14:textId="18B10912" w:rsidR="00614097" w:rsidRPr="003E0024" w:rsidRDefault="00614097" w:rsidP="009E75D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El estudio se centra en la dinámica de expectativas </w:t>
      </w:r>
      <w:r w:rsidR="00654D57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de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inflación a nivel agregado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circunscribiendo su </w:t>
      </w:r>
      <w:r w:rsidR="009E75DF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área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de </w:t>
      </w:r>
      <w:r w:rsidR="009E75DF"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análisis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a Guatemala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; no incluye microdatos por tipo de 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lastRenderedPageBreak/>
        <w:t>agente ni modelos de equilibrio general. La contribución se enfoca en identificar asimetrías y umbrales en el anclaje, manteniendo un alcance coherente</w:t>
      </w:r>
      <w:r w:rsidRPr="003E0024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.</w:t>
      </w:r>
    </w:p>
    <w:p w14:paraId="7C35D658" w14:textId="77777777" w:rsidR="00614097" w:rsidRPr="003E0024" w:rsidRDefault="00614097" w:rsidP="00B773A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</w:p>
    <w:p w14:paraId="095951C6" w14:textId="77777777" w:rsidR="00B773AA" w:rsidRDefault="00B773AA" w:rsidP="00B773AA">
      <w:pPr>
        <w:pStyle w:val="Prrafodelista"/>
        <w:numPr>
          <w:ilvl w:val="0"/>
          <w:numId w:val="3"/>
        </w:numPr>
        <w:spacing w:beforeAutospacing="1" w:after="100" w:afterAutospacing="1" w:line="240" w:lineRule="auto"/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</w:pPr>
      <w:r w:rsidRPr="003E0024">
        <w:rPr>
          <w:rFonts w:ascii="Book Antiqua" w:eastAsia="Times New Roman" w:hAnsi="Book Antiqua" w:cs="Times New Roman"/>
          <w:b/>
          <w:sz w:val="24"/>
          <w:szCs w:val="24"/>
          <w:lang w:val="es-ES_tradnl" w:eastAsia="es-GT"/>
        </w:rPr>
        <w:t>Referencias preliminares</w:t>
      </w:r>
    </w:p>
    <w:p w14:paraId="41E2B4A8" w14:textId="77777777" w:rsidR="009C2EB0" w:rsidRPr="009C2EB0" w:rsidRDefault="009C2EB0" w:rsidP="009C2EB0">
      <w:pPr>
        <w:pStyle w:val="Prrafodelista"/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</w:p>
    <w:p w14:paraId="31395A16" w14:textId="0FF2C6D1" w:rsidR="009C2EB0" w:rsidRPr="009C2EB0" w:rsidRDefault="009C2EB0" w:rsidP="009C2EB0">
      <w:pPr>
        <w:pStyle w:val="Prrafodelista"/>
        <w:numPr>
          <w:ilvl w:val="0"/>
          <w:numId w:val="10"/>
        </w:numPr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Banco de Guatemala. (2025, agosto). Encuesta de expectativas económicas al panel de analistas privados (EEE): Agosto de 2025 [Boletín mensual]. </w:t>
      </w:r>
    </w:p>
    <w:p w14:paraId="0041DBA8" w14:textId="77777777" w:rsidR="009C2EB0" w:rsidRPr="009C2EB0" w:rsidRDefault="009C2EB0" w:rsidP="009C2EB0">
      <w:pPr>
        <w:pStyle w:val="Prrafodelista"/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</w:p>
    <w:p w14:paraId="79947174" w14:textId="09800955" w:rsidR="009C2EB0" w:rsidRPr="009C2EB0" w:rsidRDefault="009C2EB0" w:rsidP="009C2EB0">
      <w:pPr>
        <w:pStyle w:val="Prrafodelista"/>
        <w:numPr>
          <w:ilvl w:val="0"/>
          <w:numId w:val="10"/>
        </w:numPr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Engle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R. F., &amp;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Granger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, C. W. J. (1987). Co-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integration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and error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correction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: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Representation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estimation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and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testing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.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Econometrica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55(2), 251–276. </w:t>
      </w:r>
    </w:p>
    <w:p w14:paraId="4ED15C89" w14:textId="77777777" w:rsidR="009C2EB0" w:rsidRPr="009C2EB0" w:rsidRDefault="009C2EB0" w:rsidP="009C2EB0">
      <w:pPr>
        <w:pStyle w:val="Prrafodelista"/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</w:p>
    <w:p w14:paraId="50D7E37D" w14:textId="746435C5" w:rsidR="009C2EB0" w:rsidRPr="009C2EB0" w:rsidRDefault="009C2EB0" w:rsidP="009C2EB0">
      <w:pPr>
        <w:pStyle w:val="Prrafodelista"/>
        <w:numPr>
          <w:ilvl w:val="0"/>
          <w:numId w:val="10"/>
        </w:numPr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Galí, J. (2008).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Monetary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policy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inflation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and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the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business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cycle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: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An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introduction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to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the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New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Keynesian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framework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. Princeton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University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Press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.  </w:t>
      </w:r>
    </w:p>
    <w:p w14:paraId="053F0596" w14:textId="77777777" w:rsidR="009C2EB0" w:rsidRPr="009C2EB0" w:rsidRDefault="009C2EB0" w:rsidP="009C2EB0">
      <w:pPr>
        <w:pStyle w:val="Prrafodelista"/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</w:p>
    <w:p w14:paraId="5DC5F06E" w14:textId="62203AE3" w:rsidR="009C2EB0" w:rsidRPr="009C2EB0" w:rsidRDefault="009C2EB0" w:rsidP="009C2EB0">
      <w:pPr>
        <w:pStyle w:val="Prrafodelista"/>
        <w:numPr>
          <w:ilvl w:val="0"/>
          <w:numId w:val="10"/>
        </w:numPr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Hansen, B. E. (2000).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Sample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splitting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and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threshold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estimation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.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Econometrica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68(3), 575–603. </w:t>
      </w:r>
    </w:p>
    <w:p w14:paraId="0DA59ADC" w14:textId="77777777" w:rsidR="009C2EB0" w:rsidRPr="009C2EB0" w:rsidRDefault="009C2EB0" w:rsidP="009C2EB0">
      <w:pPr>
        <w:pStyle w:val="Prrafodelista"/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</w:p>
    <w:p w14:paraId="253296CE" w14:textId="49732A07" w:rsidR="009C2EB0" w:rsidRPr="009C2EB0" w:rsidRDefault="009C2EB0" w:rsidP="009C2EB0">
      <w:pPr>
        <w:pStyle w:val="Prrafodelista"/>
        <w:numPr>
          <w:ilvl w:val="0"/>
          <w:numId w:val="10"/>
        </w:numPr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International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Monetary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Fund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. (2023). Guatemala: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Selected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issues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(IMF Country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Report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No. 23/173). International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Monetary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Fund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. </w:t>
      </w:r>
    </w:p>
    <w:p w14:paraId="20D02F1C" w14:textId="77777777" w:rsidR="009C2EB0" w:rsidRPr="009C2EB0" w:rsidRDefault="009C2EB0" w:rsidP="009C2EB0">
      <w:pPr>
        <w:pStyle w:val="Prrafodelista"/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</w:p>
    <w:p w14:paraId="6DAC0994" w14:textId="2BA73A45" w:rsidR="009C2EB0" w:rsidRPr="009C2EB0" w:rsidRDefault="009C2EB0" w:rsidP="009C2EB0">
      <w:pPr>
        <w:pStyle w:val="Prrafodelista"/>
        <w:numPr>
          <w:ilvl w:val="0"/>
          <w:numId w:val="10"/>
        </w:numPr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Jordà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Ò. (2005).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Estimation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and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inference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of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impulse responses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by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local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projections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. American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Economic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Review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95(1), 161–182. </w:t>
      </w:r>
    </w:p>
    <w:p w14:paraId="7BF86CBF" w14:textId="77777777" w:rsidR="009C2EB0" w:rsidRPr="009C2EB0" w:rsidRDefault="009C2EB0" w:rsidP="009C2EB0">
      <w:pPr>
        <w:pStyle w:val="Prrafodelista"/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</w:p>
    <w:p w14:paraId="0470D081" w14:textId="72225F19" w:rsidR="009C2EB0" w:rsidRPr="009C2EB0" w:rsidRDefault="009C2EB0" w:rsidP="009C2EB0">
      <w:pPr>
        <w:pStyle w:val="Prrafodelista"/>
        <w:numPr>
          <w:ilvl w:val="0"/>
          <w:numId w:val="10"/>
        </w:numPr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Łyziak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T., &amp;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Paloviita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M. (2016).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Anchoring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of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inflation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expectations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in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the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euro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area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: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Recent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evidence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based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on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survey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data (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Working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Paper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Series No. 1945).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European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Central Bank. </w:t>
      </w:r>
    </w:p>
    <w:p w14:paraId="76FB94BD" w14:textId="77777777" w:rsidR="009C2EB0" w:rsidRPr="009C2EB0" w:rsidRDefault="009C2EB0" w:rsidP="009C2EB0">
      <w:pPr>
        <w:pStyle w:val="Prrafodelista"/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</w:p>
    <w:p w14:paraId="2F8C896F" w14:textId="0ADA41FE" w:rsidR="009C2EB0" w:rsidRPr="009C2EB0" w:rsidRDefault="009C2EB0" w:rsidP="00980B25">
      <w:pPr>
        <w:pStyle w:val="Prrafodelista"/>
        <w:numPr>
          <w:ilvl w:val="0"/>
          <w:numId w:val="10"/>
        </w:numPr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Mehrotra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A., &amp;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Yetman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J. (2018).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Decaying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expectations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: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What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inflation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forecasts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tell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us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about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the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anchoring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of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inflation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expectations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. International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Journal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of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Central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Banking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14(5), 55–101. </w:t>
      </w:r>
    </w:p>
    <w:p w14:paraId="07CB33EC" w14:textId="77777777" w:rsidR="009C2EB0" w:rsidRPr="009C2EB0" w:rsidRDefault="009C2EB0" w:rsidP="009C2EB0">
      <w:pPr>
        <w:pStyle w:val="Prrafodelista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</w:p>
    <w:p w14:paraId="3D812391" w14:textId="7DFA6AA5" w:rsidR="009C2EB0" w:rsidRDefault="009C2EB0" w:rsidP="009C2EB0">
      <w:pPr>
        <w:pStyle w:val="Prrafodelista"/>
        <w:numPr>
          <w:ilvl w:val="0"/>
          <w:numId w:val="10"/>
        </w:numPr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Oliveira, A. F., &amp;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Issler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J. V. (2018). Central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bank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credibility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and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inflation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expectations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[Manuscrito/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working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paper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]. Banco Central do Brasil. </w:t>
      </w:r>
    </w:p>
    <w:p w14:paraId="7B547E80" w14:textId="77777777" w:rsidR="009C2EB0" w:rsidRPr="009C2EB0" w:rsidRDefault="009C2EB0" w:rsidP="009C2EB0">
      <w:pPr>
        <w:pStyle w:val="Prrafodelista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</w:p>
    <w:p w14:paraId="53DDB423" w14:textId="55F047AC" w:rsidR="009C2EB0" w:rsidRPr="009C2EB0" w:rsidRDefault="009C2EB0" w:rsidP="009C2EB0">
      <w:pPr>
        <w:pStyle w:val="Prrafodelista"/>
        <w:numPr>
          <w:ilvl w:val="0"/>
          <w:numId w:val="10"/>
        </w:numPr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Oliva, M. A.,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Beltran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-Saavedra, P., Nguyen-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Duong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A.,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Lamprakaki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R.,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Hadzi-Vaskov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M., &amp;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Ibanez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Thomae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L. C. (2023).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Inflation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in </w:t>
      </w:r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lastRenderedPageBreak/>
        <w:t xml:space="preserve">Guatemala: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Determinants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risks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and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expectations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. En International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Monetary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Fund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, Guatemala: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Selected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issues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(IMF Country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Report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No. 23/173). International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Monetary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 xml:space="preserve"> </w:t>
      </w:r>
      <w:proofErr w:type="spellStart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Fund</w:t>
      </w:r>
      <w:proofErr w:type="spellEnd"/>
      <w:r w:rsidRPr="009C2EB0"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  <w:t>.</w:t>
      </w:r>
    </w:p>
    <w:p w14:paraId="1E3E4D04" w14:textId="77777777" w:rsidR="009C2EB0" w:rsidRPr="009C2EB0" w:rsidRDefault="009C2EB0" w:rsidP="009C2EB0">
      <w:pPr>
        <w:pStyle w:val="Prrafodelista"/>
        <w:spacing w:afterLines="240" w:after="576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</w:p>
    <w:p w14:paraId="57FB8FB9" w14:textId="77777777" w:rsidR="00643CAA" w:rsidRPr="00643CAA" w:rsidRDefault="00643CAA" w:rsidP="00643CAA">
      <w:pPr>
        <w:pStyle w:val="Prrafodelista"/>
        <w:rPr>
          <w:rFonts w:ascii="Book Antiqua" w:eastAsia="Times New Roman" w:hAnsi="Book Antiqua" w:cs="Times New Roman"/>
          <w:sz w:val="24"/>
          <w:szCs w:val="24"/>
          <w:lang w:val="es-ES_tradnl" w:eastAsia="es-GT"/>
        </w:rPr>
      </w:pPr>
    </w:p>
    <w:sectPr w:rsidR="00643CAA" w:rsidRPr="00643C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28383" w14:textId="77777777" w:rsidR="004F4A2C" w:rsidRDefault="004F4A2C" w:rsidP="00FB0F82">
      <w:pPr>
        <w:spacing w:after="0" w:line="240" w:lineRule="auto"/>
      </w:pPr>
      <w:r>
        <w:separator/>
      </w:r>
    </w:p>
  </w:endnote>
  <w:endnote w:type="continuationSeparator" w:id="0">
    <w:p w14:paraId="3FFA2C95" w14:textId="77777777" w:rsidR="004F4A2C" w:rsidRDefault="004F4A2C" w:rsidP="00FB0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991F6" w14:textId="77777777" w:rsidR="004F4A2C" w:rsidRDefault="004F4A2C" w:rsidP="00FB0F82">
      <w:pPr>
        <w:spacing w:after="0" w:line="240" w:lineRule="auto"/>
      </w:pPr>
      <w:r>
        <w:separator/>
      </w:r>
    </w:p>
  </w:footnote>
  <w:footnote w:type="continuationSeparator" w:id="0">
    <w:p w14:paraId="32DCF8CF" w14:textId="77777777" w:rsidR="004F4A2C" w:rsidRDefault="004F4A2C" w:rsidP="00FB0F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3961"/>
    <w:multiLevelType w:val="multilevel"/>
    <w:tmpl w:val="0E0C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372A5"/>
    <w:multiLevelType w:val="multilevel"/>
    <w:tmpl w:val="F72E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80608"/>
    <w:multiLevelType w:val="multilevel"/>
    <w:tmpl w:val="454871F4"/>
    <w:styleLink w:val="Listaactual1"/>
    <w:lvl w:ilvl="0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B74B6A"/>
    <w:multiLevelType w:val="hybridMultilevel"/>
    <w:tmpl w:val="ED02F670"/>
    <w:lvl w:ilvl="0" w:tplc="BC5EEFF4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244A71"/>
    <w:multiLevelType w:val="hybridMultilevel"/>
    <w:tmpl w:val="CF989166"/>
    <w:lvl w:ilvl="0" w:tplc="9618916E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5A2D18"/>
    <w:multiLevelType w:val="hybridMultilevel"/>
    <w:tmpl w:val="F686F896"/>
    <w:lvl w:ilvl="0" w:tplc="57304746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5430B0"/>
    <w:multiLevelType w:val="hybridMultilevel"/>
    <w:tmpl w:val="7D9C344E"/>
    <w:lvl w:ilvl="0" w:tplc="F06AD958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863732"/>
    <w:multiLevelType w:val="hybridMultilevel"/>
    <w:tmpl w:val="79A66EF0"/>
    <w:lvl w:ilvl="0" w:tplc="2548AD1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0B08F2"/>
    <w:multiLevelType w:val="hybridMultilevel"/>
    <w:tmpl w:val="30DCD48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653F5F"/>
    <w:multiLevelType w:val="hybridMultilevel"/>
    <w:tmpl w:val="294EE70A"/>
    <w:lvl w:ilvl="0" w:tplc="F184FB68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spacing w:val="100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02269">
    <w:abstractNumId w:val="0"/>
  </w:num>
  <w:num w:numId="2" w16cid:durableId="1679112312">
    <w:abstractNumId w:val="1"/>
  </w:num>
  <w:num w:numId="3" w16cid:durableId="631834534">
    <w:abstractNumId w:val="8"/>
  </w:num>
  <w:num w:numId="4" w16cid:durableId="647512044">
    <w:abstractNumId w:val="3"/>
  </w:num>
  <w:num w:numId="5" w16cid:durableId="504783359">
    <w:abstractNumId w:val="6"/>
  </w:num>
  <w:num w:numId="6" w16cid:durableId="1393390308">
    <w:abstractNumId w:val="7"/>
  </w:num>
  <w:num w:numId="7" w16cid:durableId="2115323241">
    <w:abstractNumId w:val="5"/>
  </w:num>
  <w:num w:numId="8" w16cid:durableId="67385427">
    <w:abstractNumId w:val="2"/>
  </w:num>
  <w:num w:numId="9" w16cid:durableId="1932352711">
    <w:abstractNumId w:val="9"/>
  </w:num>
  <w:num w:numId="10" w16cid:durableId="2011637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AA"/>
    <w:rsid w:val="00040DBE"/>
    <w:rsid w:val="0008343B"/>
    <w:rsid w:val="00226E98"/>
    <w:rsid w:val="00295F75"/>
    <w:rsid w:val="003B5774"/>
    <w:rsid w:val="003E0024"/>
    <w:rsid w:val="004352D1"/>
    <w:rsid w:val="004F4A2C"/>
    <w:rsid w:val="004F6111"/>
    <w:rsid w:val="00614097"/>
    <w:rsid w:val="00643CAA"/>
    <w:rsid w:val="00654D57"/>
    <w:rsid w:val="006832EC"/>
    <w:rsid w:val="00710F96"/>
    <w:rsid w:val="00776C9E"/>
    <w:rsid w:val="007D4B4F"/>
    <w:rsid w:val="008A53FF"/>
    <w:rsid w:val="009929E1"/>
    <w:rsid w:val="009C2EB0"/>
    <w:rsid w:val="009E75DF"/>
    <w:rsid w:val="00B773AA"/>
    <w:rsid w:val="00C55723"/>
    <w:rsid w:val="00C77585"/>
    <w:rsid w:val="00CA3233"/>
    <w:rsid w:val="00CF748A"/>
    <w:rsid w:val="00D64153"/>
    <w:rsid w:val="00DF3097"/>
    <w:rsid w:val="00EA7A9D"/>
    <w:rsid w:val="00ED6DD2"/>
    <w:rsid w:val="00F66793"/>
    <w:rsid w:val="00FB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9B2CC6"/>
  <w15:chartTrackingRefBased/>
  <w15:docId w15:val="{069BA097-EB8C-40D0-80E2-E68D8639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73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GT"/>
    </w:rPr>
  </w:style>
  <w:style w:type="paragraph" w:styleId="Ttulo2">
    <w:name w:val="heading 2"/>
    <w:basedOn w:val="Normal"/>
    <w:link w:val="Ttulo2Car"/>
    <w:uiPriority w:val="9"/>
    <w:qFormat/>
    <w:rsid w:val="00B773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B773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73AA"/>
    <w:rPr>
      <w:rFonts w:ascii="Times New Roman" w:eastAsia="Times New Roman" w:hAnsi="Times New Roman" w:cs="Times New Roman"/>
      <w:b/>
      <w:bCs/>
      <w:kern w:val="36"/>
      <w:sz w:val="48"/>
      <w:szCs w:val="48"/>
      <w:lang w:eastAsia="es-GT"/>
    </w:rPr>
  </w:style>
  <w:style w:type="character" w:customStyle="1" w:styleId="Ttulo2Car">
    <w:name w:val="Título 2 Car"/>
    <w:basedOn w:val="Fuentedeprrafopredeter"/>
    <w:link w:val="Ttulo2"/>
    <w:uiPriority w:val="9"/>
    <w:rsid w:val="00B773AA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B773AA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B77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B773AA"/>
    <w:rPr>
      <w:b/>
      <w:bCs/>
    </w:rPr>
  </w:style>
  <w:style w:type="character" w:customStyle="1" w:styleId="whitespace-normal">
    <w:name w:val="whitespace-normal"/>
    <w:basedOn w:val="Fuentedeprrafopredeter"/>
    <w:rsid w:val="00B773AA"/>
  </w:style>
  <w:style w:type="character" w:styleId="nfasis">
    <w:name w:val="Emphasis"/>
    <w:basedOn w:val="Fuentedeprrafopredeter"/>
    <w:uiPriority w:val="20"/>
    <w:qFormat/>
    <w:rsid w:val="00B773AA"/>
    <w:rPr>
      <w:i/>
      <w:iCs/>
    </w:rPr>
  </w:style>
  <w:style w:type="paragraph" w:styleId="Prrafodelista">
    <w:name w:val="List Paragraph"/>
    <w:basedOn w:val="Normal"/>
    <w:uiPriority w:val="34"/>
    <w:qFormat/>
    <w:rsid w:val="00B773A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B0F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0F82"/>
  </w:style>
  <w:style w:type="paragraph" w:styleId="Piedepgina">
    <w:name w:val="footer"/>
    <w:basedOn w:val="Normal"/>
    <w:link w:val="PiedepginaCar"/>
    <w:uiPriority w:val="99"/>
    <w:unhideWhenUsed/>
    <w:rsid w:val="00FB0F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0F82"/>
  </w:style>
  <w:style w:type="numbering" w:customStyle="1" w:styleId="Listaactual1">
    <w:name w:val="Lista actual1"/>
    <w:uiPriority w:val="99"/>
    <w:rsid w:val="00643CAA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5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1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1359</Words>
  <Characters>7679</Characters>
  <Application>Microsoft Office Word</Application>
  <DocSecurity>0</DocSecurity>
  <Lines>295</Lines>
  <Paragraphs>220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Leonel Herrera Velásquez</dc:creator>
  <cp:keywords/>
  <dc:description/>
  <cp:lastModifiedBy>Garrido Grijalva, Paulo Augusto</cp:lastModifiedBy>
  <cp:revision>3</cp:revision>
  <dcterms:created xsi:type="dcterms:W3CDTF">2026-01-12T07:13:00Z</dcterms:created>
  <dcterms:modified xsi:type="dcterms:W3CDTF">2026-01-12T07:17:00Z</dcterms:modified>
</cp:coreProperties>
</file>