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Evolución del anclaje de las expectativas de inflación en Guatemala: una aproximación a la credibilidad de la política monetaria, 2010–2026</w:t>
      </w:r>
    </w:p>
    <w:p>
      <w:pPr>
        <w:jc w:val="center"/>
      </w:pPr>
      <w:r>
        <w:rPr>
          <w:rFonts w:ascii="Times New Roman" w:hAnsi="Times New Roman" w:eastAsia="Times New Roman"/>
          <w:sz w:val="21"/>
        </w:rPr>
        <w:t>Paulo Garrido</w:t>
      </w:r>
    </w:p>
    <w:p>
      <w:pPr>
        <w:pStyle w:val="AcademicAffiliation"/>
      </w:pPr>
      <w:r>
        <w:t>Programa de Estudios Superiores en Banca Central</w:t>
        <w:br/>
        <w:t>Maestría en Economía y Finanzas Aplicadas</w:t>
      </w:r>
    </w:p>
    <w:p>
      <w:pPr>
        <w:pStyle w:val="Abstract"/>
      </w:pPr>
      <w:r>
        <w:rPr>
          <w:rFonts w:ascii="Times New Roman" w:hAnsi="Times New Roman" w:eastAsia="Times New Roman"/>
          <w:b/>
          <w:sz w:val="19"/>
        </w:rPr>
        <w:t xml:space="preserve">Resumen. </w:t>
      </w:r>
      <w:r>
        <w:rPr>
          <w:rFonts w:ascii="Times New Roman" w:hAnsi="Times New Roman" w:eastAsia="Times New Roman"/>
          <w:sz w:val="19"/>
        </w:rPr>
        <w:t>El estudio analiza la evolución del anclaje de las expectativas de inflación a 24 meses en Guatemala durante 2010–2026 como una aproximación a la credibilidad de la política monetaria. Más que identificar únicamente su proximidad respecto de la meta, el análisis distingue dos dimensiones complementarias: la sensibilidad de las expectativas frente a la inflación observada y la referencia nominal hacia la cual parecen converger. La estrategia empírica combina regresiones móviles con un modelo VAR bivariado de parámetros variantes en el tiempo estimado mediante filtro de Kalman.</w:t>
      </w:r>
    </w:p>
    <w:p>
      <w:pPr>
        <w:pStyle w:val="Keywords"/>
      </w:pPr>
      <w:r>
        <w:rPr>
          <w:rFonts w:ascii="Times New Roman" w:hAnsi="Times New Roman" w:eastAsia="Times New Roman"/>
          <w:b/>
          <w:i/>
          <w:sz w:val="18"/>
        </w:rPr>
        <w:t xml:space="preserve">Palabras clave: </w:t>
      </w:r>
      <w:r>
        <w:rPr>
          <w:rFonts w:ascii="Times New Roman" w:hAnsi="Times New Roman" w:eastAsia="Times New Roman"/>
          <w:sz w:val="18"/>
        </w:rPr>
        <w:t>expectativas de inflación; anclaje de expectativas; credibilidad monetaria; metas explícitas de inflación; parámetros variantes en el tiempo; Guatemala.</w:t>
        <w:br/>
      </w:r>
      <w:r>
        <w:rPr>
          <w:rFonts w:ascii="Times New Roman" w:hAnsi="Times New Roman" w:eastAsia="Times New Roman"/>
          <w:b/>
          <w:i/>
          <w:sz w:val="18"/>
        </w:rPr>
        <w:t xml:space="preserve">Clasificación JEL: </w:t>
      </w:r>
      <w:r>
        <w:rPr>
          <w:rFonts w:ascii="Times New Roman" w:hAnsi="Times New Roman" w:eastAsia="Times New Roman"/>
          <w:sz w:val="18"/>
        </w:rPr>
        <w:t>E31, E52, E58.</w:t>
      </w:r>
    </w:p>
    <w:p>
      <w:pPr>
        <w:pStyle w:val="Heading1"/>
      </w:pPr>
      <w:r>
        <w:t>1. Introducción</w:t>
      </w:r>
    </w:p>
    <w:p>
      <w:pPr/>
      <w:r>
        <w:t>La inestabilidad macroeconómica que caracterizó la economía mundial durante la segunda mitad del siglo XX —particularmente en materia de inflación— reforzó el papel de la política monetaria como una herramienta transversal en la política económica en materia de estabilidad, debido a que, en última instancia, los bancos centrales son las instituciones encargadas de contribuir a un entorno predecible para las decisiones de consumo, ahorro, inversión y fijación de precios.</w:t>
      </w:r>
    </w:p>
    <w:p>
      <w:pPr/>
      <w:r>
        <w:t>Conforme se consolidó esta visión, se evidenció que la capacidad de la política monetaria para cumplir ese cometido no se circunscribe al uso de instrumentos de política, sino —fundamentalmente— a la credibilidad con que la autoridad monetaria logra influir sobre las expectativas de los agentes. Bajo esta premisa, uno de los resultados más relevantes de una política monetaria creíble es aquello que la literatura denomina expectativas de inflación bien ancladas.</w:t>
      </w:r>
    </w:p>
    <w:p>
      <w:pPr/>
      <w:r>
        <w:t>Esta premisa conduce, sin embargo, a una cuestión menos evidente: ¿qué significa, en términos empíricos, que las expectativas estén ancladas? Su proximidad respecto de la meta constituye una primera señal, pero no una condición suficiente. El problema del anclaje tiene, por tanto, al menos dos dimensiones: la intensidad con que la inflación observada influye sobre las expectativas y el nivel alrededor del cual estas terminan organizándose.</w:t>
      </w:r>
    </w:p>
    <w:p>
      <w:pPr>
        <w:pStyle w:val="Heading2"/>
      </w:pPr>
      <w:r>
        <w:t>1.1 Expectativas como eje central en la política monetaria moderna</w:t>
      </w:r>
    </w:p>
    <w:p>
      <w:pPr/>
      <w:r>
        <w:t>En la actualidad, resulta casi axiomático sostener que las expectativas desempeñan un papel fundamental en la eficacia de la política monetaria. El diseño Word propuesto mantiene una jerarquía visual discreta, adecuada para revisión académica, sin replicar mecánicamente la composición a dos columnas del PDF.</w:t>
      </w:r>
    </w:p>
    <w:p>
      <w:pPr>
        <w:pStyle w:val="Caption"/>
      </w:pPr>
      <w:r>
        <w:t>Figura 1. Evolución histórica de la inflación en Guatemala, 1997–2026</w:t>
      </w:r>
    </w:p>
    <w:p>
      <w:pPr>
        <w:pStyle w:val="FigureNote"/>
      </w:pPr>
      <w:r>
        <w:rPr>
          <w:rFonts w:ascii="Times New Roman" w:hAnsi="Times New Roman" w:eastAsia="Times New Roman"/>
          <w:i/>
          <w:sz w:val="17"/>
        </w:rPr>
        <w:t xml:space="preserve">Nota. </w:t>
      </w:r>
      <w:r>
        <w:rPr>
          <w:rFonts w:ascii="Times New Roman" w:hAnsi="Times New Roman" w:eastAsia="Times New Roman"/>
          <w:sz w:val="17"/>
        </w:rPr>
        <w:t>En el documento final, Quarto insertará aquí la imagen desde la ruta del proyecto y conservará esta nota con un estilo diferenciado.</w:t>
      </w:r>
    </w:p>
    <w:p>
      <w:pPr>
        <w:pStyle w:val="Heading1"/>
      </w:pPr>
      <w:r>
        <w:t>2. Metodología y datos</w:t>
      </w:r>
    </w:p>
    <w:p>
      <w:pPr/>
      <w:r>
        <w:t>Las ecuaciones generadas por Quarto/Pandoc se insertan como ecuaciones editables de Word (OMML). Las tablas se presentan a ancho de página y las referencias se conservan mediante el mismo archivo bibliográfico del proyecto.</w:t>
      </w:r>
    </w:p>
    <w:sectPr w:rsidR="00FC693F" w:rsidRPr="0006063C" w:rsidSect="00034616">
      <w:headerReference w:type="default" r:id="rId9"/>
      <w:footerReference w:type="default" r:id="rId10"/>
      <w:pgSz w:w="12240" w:h="15840"/>
      <w:pgMar w:top="1247" w:right="1247" w:bottom="1247"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jc w:val="left"/>
          </w:pPr>
          <w:r>
            <w:rPr>
              <w:rFonts w:ascii="Times New Roman" w:hAnsi="Times New Roman" w:eastAsia="Times New Roman"/>
              <w:sz w:val="16"/>
            </w:rPr>
            <w:t>Paulo Garrido</w:t>
          </w:r>
        </w:p>
      </w:tc>
      <w:tc>
        <w:tcPr>
          <w:tcW w:type="dxa" w:w="4680"/>
        </w:tcPr>
        <w:p>
          <w:pPr>
            <w:jc w:val="right"/>
          </w:pPr>
          <w:r>
            <w:rPr>
              <w:rFonts w:ascii="Times New Roman" w:hAnsi="Times New Roman" w:eastAsia="Times New Roman"/>
              <w:sz w:val="16"/>
            </w:rPr>
            <w:t>Anclaje de expectativas en Guatemala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50" w:before="0"/>
      <w:ind w:firstLine="34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firstLine="0"/>
      <w:outlineLvl w:val="0"/>
    </w:pPr>
    <w:rPr>
      <w:rFonts w:asciiTheme="majorHAnsi" w:eastAsiaTheme="majorEastAsia" w:hAnsiTheme="majorHAnsi" w:cstheme="majorBidi" w:ascii="Times New Roman" w:hAnsi="Times New Roman" w:eastAsia="Times New Roman"/>
      <w:b/>
      <w:bCs/>
      <w:i w:val="0"/>
      <w:color w:val="1F3A5F"/>
      <w:sz w:val="25"/>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outlineLvl w:val="1"/>
    </w:pPr>
    <w:rPr>
      <w:rFonts w:asciiTheme="majorHAnsi" w:eastAsiaTheme="majorEastAsia" w:hAnsiTheme="majorHAnsi" w:cstheme="majorBidi" w:ascii="Times New Roman" w:hAnsi="Times New Roman" w:eastAsia="Times New Roman"/>
      <w:b/>
      <w:bCs/>
      <w:i w:val="0"/>
      <w:color w:val="1F3A5F"/>
      <w:sz w:val="22"/>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outlineLvl w:val="2"/>
    </w:pPr>
    <w:rPr>
      <w:rFonts w:asciiTheme="majorHAnsi" w:eastAsiaTheme="majorEastAsia" w:hAnsiTheme="majorHAnsi" w:cstheme="majorBidi" w:ascii="Times New Roman" w:hAnsi="Times New Roman" w:eastAsia="Times New Roman"/>
      <w:b/>
      <w:bCs/>
      <w:i/>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jc w:val="center"/>
    </w:pPr>
    <w:rPr>
      <w:rFonts w:asciiTheme="majorHAnsi" w:eastAsiaTheme="majorEastAsia" w:hAnsiTheme="majorHAnsi" w:cstheme="majorBidi" w:ascii="Times New Roman" w:hAnsi="Times New Roman" w:eastAsia="Times New Roman"/>
      <w:b/>
      <w:color w:val="1F3A5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jc w:val="center"/>
    </w:pPr>
    <w:rPr>
      <w:rFonts w:asciiTheme="majorHAnsi" w:eastAsiaTheme="majorEastAsia" w:hAnsiTheme="majorHAnsi" w:cstheme="majorBidi" w:ascii="Times New Roman" w:hAnsi="Times New Roman" w:eastAsia="Times New Roman"/>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60"/>
      <w:ind w:firstLine="0"/>
      <w:jc w:val="center"/>
    </w:pPr>
    <w:rPr>
      <w:rFonts w:ascii="Times New Roman" w:hAnsi="Times New Roman" w:eastAsia="Times New Roman"/>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eastAsia="Times New Roman"/>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after="60" w:line="240" w:lineRule="auto"/>
      <w:ind w:left="397" w:hanging="397"/>
    </w:pPr>
    <w:rPr>
      <w:rFonts w:ascii="Times New Roman" w:hAnsi="Times New Roman" w:eastAsia="Times New Roman"/>
      <w:sz w:val="19"/>
    </w:rPr>
  </w:style>
  <w:style w:type="paragraph" w:customStyle="1" w:styleId="AcademicAffiliation">
    <w:name w:val="Academic Affiliation"/>
    <w:pPr>
      <w:spacing w:before="0" w:after="140" w:line="240" w:lineRule="auto"/>
      <w:ind w:firstLine="0"/>
      <w:jc w:val="center"/>
    </w:pPr>
    <w:rPr>
      <w:rFonts w:ascii="Times New Roman" w:hAnsi="Times New Roman" w:eastAsia="Times New Roman"/>
      <w:i/>
      <w:sz w:val="19"/>
    </w:rPr>
  </w:style>
  <w:style w:type="paragraph" w:customStyle="1" w:styleId="Abstract">
    <w:name w:val="Abstract"/>
    <w:pPr>
      <w:spacing w:before="40" w:after="80" w:line="240" w:lineRule="auto"/>
      <w:ind w:firstLine="0"/>
      <w:jc w:val="both"/>
    </w:pPr>
    <w:rPr>
      <w:rFonts w:ascii="Times New Roman" w:hAnsi="Times New Roman" w:eastAsia="Times New Roman"/>
      <w:i w:val="0"/>
      <w:sz w:val="19"/>
    </w:rPr>
  </w:style>
  <w:style w:type="paragraph" w:customStyle="1" w:styleId="Keywords">
    <w:name w:val="Keywords"/>
    <w:pPr>
      <w:spacing w:before="0" w:after="180" w:line="240" w:lineRule="auto"/>
      <w:ind w:firstLine="0"/>
      <w:jc w:val="left"/>
    </w:pPr>
    <w:rPr>
      <w:rFonts w:ascii="Times New Roman" w:hAnsi="Times New Roman" w:eastAsia="Times New Roman"/>
      <w:i w:val="0"/>
      <w:sz w:val="18"/>
    </w:rPr>
  </w:style>
  <w:style w:type="paragraph" w:customStyle="1" w:styleId="FigureNote">
    <w:name w:val="Figure Note"/>
    <w:pPr>
      <w:spacing w:before="40" w:after="120" w:line="240" w:lineRule="auto"/>
      <w:ind w:firstLine="0"/>
      <w:jc w:val="both"/>
    </w:pPr>
    <w:rPr>
      <w:rFonts w:ascii="Times New Roman" w:hAnsi="Times New Roman" w:eastAsia="Times New Roman"/>
      <w:i w:val="0"/>
      <w:sz w:val="17"/>
    </w:rPr>
  </w:style>
  <w:style w:type="paragraph" w:customStyle="1" w:styleId="TableNote">
    <w:name w:val="Table Note"/>
    <w:pPr>
      <w:spacing w:before="40" w:after="120" w:line="240" w:lineRule="auto"/>
      <w:ind w:firstLine="0"/>
      <w:jc w:val="both"/>
    </w:pPr>
    <w:rPr>
      <w:rFonts w:ascii="Times New Roman" w:hAnsi="Times New Roman" w:eastAsia="Times New Roman"/>
      <w:i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