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20240" cy="1277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ax.php 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27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Calibri" w:hAnsi="Calibri"/>
          <w:b/>
          <w:color w:val="2F57DB"/>
          <w:sz w:val="48"/>
        </w:rPr>
        <w:t>Manual de Apresentação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/>
          <w:color w:val="1C2536"/>
          <w:sz w:val="36"/>
        </w:rPr>
        <w:t>Gamificação Operacional UNI OPR</w:t>
      </w:r>
    </w:p>
    <w:p>
      <w:pPr>
        <w:spacing w:before="0" w:after="360" w:line="276" w:lineRule="auto"/>
        <w:jc w:val="center"/>
      </w:pPr>
      <w:r>
        <w:rPr>
          <w:rFonts w:ascii="Calibri" w:hAnsi="Calibri"/>
          <w:color w:val="5C6A82"/>
          <w:sz w:val="23"/>
        </w:rPr>
        <w:t>Guia visual para apresentar a ferramenta, explicar a lógica de apuração e conduzir a reunião com diretoria, RH e gestores.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824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C2536"/>
                <w:sz w:val="20"/>
              </w:rPr>
              <w:t>Competência validada</w:t>
            </w:r>
          </w:p>
        </w:tc>
        <w:tc>
          <w:tcPr>
            <w:tcW w:type="dxa" w:w="4824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C2536"/>
                <w:sz w:val="21"/>
              </w:rPr>
              <w:t>04/2026</w:t>
            </w:r>
          </w:p>
        </w:tc>
      </w:tr>
      <w:tr>
        <w:tc>
          <w:tcPr>
            <w:tcW w:type="dxa" w:w="4824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C2536"/>
                <w:sz w:val="20"/>
              </w:rPr>
              <w:t>Total de O.S apuradas</w:t>
            </w:r>
          </w:p>
        </w:tc>
        <w:tc>
          <w:tcPr>
            <w:tcW w:type="dxa" w:w="4824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C2536"/>
                <w:sz w:val="21"/>
              </w:rPr>
              <w:t>8.099 O.S</w:t>
            </w:r>
          </w:p>
        </w:tc>
      </w:tr>
      <w:tr>
        <w:tc>
          <w:tcPr>
            <w:tcW w:type="dxa" w:w="4824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C2536"/>
                <w:sz w:val="20"/>
              </w:rPr>
              <w:t>Valor final apurado</w:t>
            </w:r>
          </w:p>
        </w:tc>
        <w:tc>
          <w:tcPr>
            <w:tcW w:type="dxa" w:w="4824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C2536"/>
                <w:sz w:val="21"/>
              </w:rPr>
              <w:t>R$ 21.131,46</w:t>
            </w:r>
          </w:p>
        </w:tc>
      </w:tr>
      <w:tr>
        <w:tc>
          <w:tcPr>
            <w:tcW w:type="dxa" w:w="4824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C2536"/>
                <w:sz w:val="20"/>
              </w:rPr>
              <w:t>Objetivo do material</w:t>
            </w:r>
          </w:p>
        </w:tc>
        <w:tc>
          <w:tcPr>
            <w:tcW w:type="dxa" w:w="4824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C2536"/>
                <w:sz w:val="21"/>
              </w:rPr>
              <w:t>Apoiar a apresentação da ferramenta com visão executiva e evidências visuais das telas.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/>
          <w:b/>
          <w:color w:val="2F57DB"/>
          <w:sz w:val="26"/>
        </w:rPr>
        <w:t>Como usar este material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Use a capa e a visão geral para contextualizar a ferramenta em menos de 1 minuto.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Abra as abas na mesma ordem deste manual para manter uma narrativa clara.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Quando precisar justificar um resultado, use a parte de Auditoria e o exemplo da auditoria individual da O.S.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Se a reunião for mais executiva, foque em Fechamento, Ranking, Auditoria e Período.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1. Objetivo da ferramenta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1C2536"/>
          <w:sz w:val="22"/>
        </w:rPr>
        <w:t>A Gamificação Operacional transforma O.S finalizadas em pontuação auditável. A ferramenta identifica o colaborador responsável, relaciona a O.S à regional, aplica a regra do assunto e do grupo, verifica penalidades por diagnóstico, reincidência e SLA, e consolida tudo em ranking, auditoria e valor a ser pago.</w:t>
      </w:r>
    </w:p>
    <w:p>
      <w:pPr>
        <w:spacing w:before="0" w:after="200" w:line="276" w:lineRule="auto"/>
      </w:pPr>
      <w:r>
        <w:rPr>
          <w:rFonts w:ascii="Calibri" w:hAnsi="Calibri"/>
          <w:b w:val="0"/>
          <w:color w:val="1C2536"/>
          <w:sz w:val="22"/>
        </w:rPr>
        <w:t>Na prática, o sistema ajuda a responder três perguntas de gestão: quanto cada colaborador produziu, por que determinadas O.S pontuaram ou foram anuladas, e qual é o valor consolidado da competência analisada.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2. Fluxo da apresentação ao vivo</w:t>
      </w:r>
    </w:p>
    <w:p>
      <w:pPr>
        <w:pStyle w:val="ListNumber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Comece em Fechamento para mostrar o valor total, o período analisado e as pendências sem regra.</w:t>
      </w:r>
    </w:p>
    <w:p>
      <w:pPr>
        <w:pStyle w:val="ListNumber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Passe para Ranking para mostrar desempenho por colaborador e a consolidação da produtividade.</w:t>
      </w:r>
    </w:p>
    <w:p>
      <w:pPr>
        <w:pStyle w:val="ListNumber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Abra a Auditoria para demonstrar transparência: a ferramenta mostra o motivo de cada pontuação ou anulação.</w:t>
      </w:r>
    </w:p>
    <w:p>
      <w:pPr>
        <w:pStyle w:val="ListNumber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Mostre Configuração apenas se a reunião pedir profundidade técnica sobre grupos, assuntos, diagnósticos e governança.</w:t>
      </w:r>
    </w:p>
    <w:p>
      <w:pPr>
        <w:pStyle w:val="ListNumber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Finalize em Período para reforçar que o cálculo respeita a competência selecionada.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3. Mensagem executiva sugerida</w:t>
      </w:r>
    </w:p>
    <w:p>
      <w:pPr>
        <w:spacing w:before="40" w:after="200" w:line="276" w:lineRule="auto"/>
      </w:pPr>
      <w:r>
        <w:rPr>
          <w:rFonts w:ascii="Calibri" w:hAnsi="Calibri"/>
          <w:b w:val="0"/>
          <w:color w:val="1C2536"/>
          <w:sz w:val="23"/>
        </w:rPr>
        <w:t>“Esta ferramenta transforma a operação em uma apuração rastreável. Ela não mostra apenas o resultado final; ela mostra a regra aplicada, a justificativa operacional e o impacto financeiro da competência analisada.”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4. Fechamento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1C2536"/>
          <w:sz w:val="22"/>
        </w:rPr>
        <w:t>A aba Fechamento é a melhor abertura da apresentação. Ela mostra o resumo financeiro da competência, a quantidade total de O.S apuradas, o valor consolidado a ser pago e as pendências que ainda exigem configuração antes do fechamento.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9375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echam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375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jc w:val="center"/>
      </w:pPr>
      <w:r>
        <w:rPr>
          <w:rFonts w:ascii="Calibri" w:hAnsi="Calibri"/>
          <w:color w:val="5C6A82"/>
          <w:sz w:val="19"/>
        </w:rPr>
        <w:t>Tela de Fechamento com os principais indicadores da competência.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Destaque o valor total da competência e a quantidade total de O.S.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Explique que pendência, neste contexto, é o que ainda está sem regra configurada.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Mostre que a exportação de pagamento já está disponível para o fechamento financeiro.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F57DB"/>
          <w:sz w:val="26"/>
        </w:rPr>
        <w:t>Mensagem sugerida para a reunião</w:t>
      </w:r>
    </w:p>
    <w:p>
      <w:pPr>
        <w:spacing w:before="0" w:after="200" w:line="276" w:lineRule="auto"/>
      </w:pPr>
      <w:r>
        <w:rPr>
          <w:rFonts w:ascii="Calibri" w:hAnsi="Calibri"/>
          <w:b w:val="0"/>
          <w:color w:val="1C2536"/>
          <w:sz w:val="22"/>
        </w:rPr>
        <w:t>“Aqui está o consolidado da competência. O sistema soma toda a produção válida, separa o que foi anulado por regra e entrega o valor final já pronto para conferência e pagamento.”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5. Ranking operacional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1C2536"/>
          <w:sz w:val="22"/>
        </w:rPr>
        <w:t>O Ranking mostra quem mais gerou resultado final na competência analisada. Essa visão é útil para gestão, acompanhamento de produtividade e leitura rápida de desempenho por colaborador.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731620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an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162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jc w:val="center"/>
      </w:pPr>
      <w:r>
        <w:rPr>
          <w:rFonts w:ascii="Calibri" w:hAnsi="Calibri"/>
          <w:color w:val="5C6A82"/>
          <w:sz w:val="19"/>
        </w:rPr>
        <w:t>Tela de Ranking operacional dos colaboradores.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Explique que o ranking reflete o resultado final da apuração, e não apenas volume bruto de O.S.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Se perguntarem sobre justiça do cálculo, conecte o ranking com a auditoria individual da O.S.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Use o extrato operacional do colaborador como aprofundamento, não como primeira tela.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F57DB"/>
          <w:sz w:val="26"/>
        </w:rPr>
        <w:t>Leitura recomendada</w:t>
      </w:r>
    </w:p>
    <w:p>
      <w:pPr>
        <w:spacing w:before="0" w:after="200" w:line="276" w:lineRule="auto"/>
      </w:pPr>
      <w:r>
        <w:rPr>
          <w:rFonts w:ascii="Calibri" w:hAnsi="Calibri"/>
          <w:b w:val="0"/>
          <w:color w:val="1C2536"/>
          <w:sz w:val="22"/>
        </w:rPr>
        <w:t>“O ranking considera o que realmente virou resultado depois da aplicação das regras. Assim, ele premia produção válida e não apenas quantidade de ordens executadas.”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6. Auditoria operacional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1C2536"/>
          <w:sz w:val="22"/>
        </w:rPr>
        <w:t>A Auditoria é a área de prova do sistema. Ela permite filtrar O.S pontuadas, anuladas, fora prazo, reincidências e diagnósticos bloqueados, sempre mostrando a justificativa operacional por trás do resultado.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05865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60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6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jc w:val="center"/>
      </w:pPr>
      <w:r>
        <w:rPr>
          <w:rFonts w:ascii="Calibri" w:hAnsi="Calibri"/>
          <w:color w:val="5C6A82"/>
          <w:sz w:val="19"/>
        </w:rPr>
        <w:t>Tela de Auditoria operacional com filtros, cards e tabela das O.S.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Use os cards para mostrar volume total, O.S anuladas, fora prazo, reincidências e pontos anulados.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Mostre que a exportação da auditoria já existe e pode ser usada para conferência.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Ao filtrar, espere alguns segundos até a atualização completar antes de comentar os números.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F57DB"/>
          <w:sz w:val="26"/>
        </w:rPr>
        <w:t>Mensagem sugerida para a reunião</w:t>
      </w:r>
    </w:p>
    <w:p>
      <w:pPr>
        <w:spacing w:before="0" w:after="200" w:line="276" w:lineRule="auto"/>
      </w:pPr>
      <w:r>
        <w:rPr>
          <w:rFonts w:ascii="Calibri" w:hAnsi="Calibri"/>
          <w:b w:val="0"/>
          <w:color w:val="1C2536"/>
          <w:sz w:val="22"/>
        </w:rPr>
        <w:t>“Se alguém questionar qualquer resultado, a resposta está aqui. A ferramenta mostra a base, a regra aplicada, o motivo operacional e o impacto em pontos.”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7. Auditoria individual da O.S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1C2536"/>
          <w:sz w:val="22"/>
        </w:rPr>
        <w:t>Quando o usuário clica em “Auditar”, a ferramenta abre um detalhamento completo da O.S. Essa visão é importante para defender a confiabilidade do sistema, porque mostra claramente por que a ordem pontuou, foi anulada ou ficou sem regra.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02545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audit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25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jc w:val="center"/>
      </w:pPr>
      <w:r>
        <w:rPr>
          <w:rFonts w:ascii="Calibri" w:hAnsi="Calibri"/>
          <w:color w:val="5C6A82"/>
          <w:sz w:val="19"/>
        </w:rPr>
        <w:t>Exemplo de auditoria individual de uma O.S.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Mostre o resumo da decisão em linguagem operacional.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Aponte os campos da planilha: cliente, contrato/login, colaborador, regional, tipo geral, assunto, diagnóstico e SLA.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Destaque a regra aplicada, o motivo operacional e o resultado final em pontos.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Se houver reincidência, esse mesmo painel mostra a evidência usada na classificação.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8. Configuração e governança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1C2536"/>
          <w:sz w:val="22"/>
        </w:rPr>
        <w:t>A aba Configuração concentra a governança da apuração. É nela que ficam o valor do ponto, os grupos de pontuação, os assuntos vinculados, os diagnósticos e os cadastros operacionais que sustentam o cálculo.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2176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heck-config-ru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17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jc w:val="center"/>
      </w:pPr>
      <w:r>
        <w:rPr>
          <w:rFonts w:ascii="Calibri" w:hAnsi="Calibri"/>
          <w:color w:val="5C6A82"/>
          <w:sz w:val="19"/>
        </w:rPr>
        <w:t>Configuração das regras da gamificação, com grupos e governança da matriz.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278225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heck-config-collaborat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822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jc w:val="center"/>
      </w:pPr>
      <w:r>
        <w:rPr>
          <w:rFonts w:ascii="Calibri" w:hAnsi="Calibri"/>
          <w:color w:val="5C6A82"/>
          <w:sz w:val="19"/>
        </w:rPr>
        <w:t>Cadastro e vínculo de colaboradores e filiais.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Se a diretoria perguntar sobre manutenção da regra, esta é a tela que comprova governança.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Explique que a apuração depende de assuntos, grupos, diagnósticos e cadastros consistentes.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Se a reunião for mais executiva, passe rápido por esta parte para não aprofundar demais no técnico.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9. Histórico e período analisado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1C2536"/>
          <w:sz w:val="22"/>
        </w:rPr>
        <w:t>Essas duas abas ajudam a explicar um ponto essencial: a ferramenta trabalha com competência selecionada. Mesmo quando há mais de um mês importado na base, ranking, auditoria, gráficos e fechamento devem respeitar o período analisado.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6846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historic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846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jc w:val="center"/>
      </w:pPr>
      <w:r>
        <w:rPr>
          <w:rFonts w:ascii="Calibri" w:hAnsi="Calibri"/>
          <w:color w:val="5C6A82"/>
          <w:sz w:val="19"/>
        </w:rPr>
        <w:t>Histórico de execuções e consolidações da apuração.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2176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erio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17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jc w:val="center"/>
      </w:pPr>
      <w:r>
        <w:rPr>
          <w:rFonts w:ascii="Calibri" w:hAnsi="Calibri"/>
          <w:color w:val="5C6A82"/>
          <w:sz w:val="19"/>
        </w:rPr>
        <w:t>Controle do período em uso para ranking, auditoria e gráficos.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Use a aba Período para mostrar qual competência está em uso.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Explique que a base pode guardar vários meses, mas a leitura gerencial deve seguir apenas o período selecionado.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Se perguntarem sobre rastreabilidade temporal, use Histórico e Período juntos.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10. Números da competência validada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824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C2536"/>
                <w:sz w:val="20"/>
              </w:rPr>
              <w:t>Competência em uso</w:t>
            </w:r>
          </w:p>
        </w:tc>
        <w:tc>
          <w:tcPr>
            <w:tcW w:type="dxa" w:w="4824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C2536"/>
                <w:sz w:val="21"/>
              </w:rPr>
              <w:t>04/2026</w:t>
            </w:r>
          </w:p>
        </w:tc>
      </w:tr>
      <w:tr>
        <w:tc>
          <w:tcPr>
            <w:tcW w:type="dxa" w:w="4824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C2536"/>
                <w:sz w:val="20"/>
              </w:rPr>
              <w:t>Total de O.S</w:t>
            </w:r>
          </w:p>
        </w:tc>
        <w:tc>
          <w:tcPr>
            <w:tcW w:type="dxa" w:w="4824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C2536"/>
                <w:sz w:val="21"/>
              </w:rPr>
              <w:t>8.099 O.S</w:t>
            </w:r>
          </w:p>
        </w:tc>
      </w:tr>
      <w:tr>
        <w:tc>
          <w:tcPr>
            <w:tcW w:type="dxa" w:w="4824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C2536"/>
                <w:sz w:val="20"/>
              </w:rPr>
              <w:t>O.S fora prazo</w:t>
            </w:r>
          </w:p>
        </w:tc>
        <w:tc>
          <w:tcPr>
            <w:tcW w:type="dxa" w:w="4824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C2536"/>
                <w:sz w:val="21"/>
              </w:rPr>
              <w:t>1.244 O.S</w:t>
            </w:r>
          </w:p>
        </w:tc>
      </w:tr>
      <w:tr>
        <w:tc>
          <w:tcPr>
            <w:tcW w:type="dxa" w:w="4824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C2536"/>
                <w:sz w:val="20"/>
              </w:rPr>
              <w:t>O.S com reincidência que anulou</w:t>
            </w:r>
          </w:p>
        </w:tc>
        <w:tc>
          <w:tcPr>
            <w:tcW w:type="dxa" w:w="4824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C2536"/>
                <w:sz w:val="21"/>
              </w:rPr>
              <w:t>939 O.S</w:t>
            </w:r>
          </w:p>
        </w:tc>
      </w:tr>
      <w:tr>
        <w:tc>
          <w:tcPr>
            <w:tcW w:type="dxa" w:w="4824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C2536"/>
                <w:sz w:val="20"/>
              </w:rPr>
              <w:t>Pontos anulados</w:t>
            </w:r>
          </w:p>
        </w:tc>
        <w:tc>
          <w:tcPr>
            <w:tcW w:type="dxa" w:w="4824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C2536"/>
                <w:sz w:val="21"/>
              </w:rPr>
              <w:t>13.664 pts</w:t>
            </w:r>
          </w:p>
        </w:tc>
      </w:tr>
      <w:tr>
        <w:tc>
          <w:tcPr>
            <w:tcW w:type="dxa" w:w="4824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C2536"/>
                <w:sz w:val="20"/>
              </w:rPr>
              <w:t>Valor final apurado</w:t>
            </w:r>
          </w:p>
        </w:tc>
        <w:tc>
          <w:tcPr>
            <w:tcW w:type="dxa" w:w="4824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C2536"/>
                <w:sz w:val="21"/>
              </w:rPr>
              <w:t>R$ 21.131,46</w:t>
            </w:r>
          </w:p>
        </w:tc>
      </w:tr>
    </w:tbl>
    <w:p/>
    <w:p>
      <w:pPr>
        <w:spacing w:before="0" w:after="160" w:line="276" w:lineRule="auto"/>
      </w:pPr>
      <w:r>
        <w:rPr>
          <w:rFonts w:ascii="Calibri" w:hAnsi="Calibri"/>
          <w:b w:val="0"/>
          <w:color w:val="5C6A82"/>
          <w:sz w:val="21"/>
        </w:rPr>
        <w:t>Esses números foram usados como referência para a validação visual e funcional da ferramenta antes da apresentação.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11. Perguntas que a ferramenta já responde bem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Quanto cada colaborador gerou de resultado final na competência.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Por que uma O.S pontuou, foi anulada ou ficou sem impacto financeiro.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Quantas O.S ficaram fora prazo e quantas entraram como reincidência.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Qual é o valor consolidado a ser pago por competência.</w:t>
      </w:r>
    </w:p>
    <w:p>
      <w:pPr>
        <w:pStyle w:val="ListBullet"/>
        <w:spacing w:after="80" w:line="288" w:lineRule="auto"/>
        <w:ind w:left="288"/>
      </w:pPr>
      <w:r>
        <w:rPr>
          <w:rFonts w:ascii="Calibri" w:hAnsi="Calibri"/>
          <w:color w:val="1C2536"/>
          <w:sz w:val="22"/>
        </w:rPr>
        <w:t>Quais pontos ainda exigem governança antes do fechamento.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F57DB"/>
          <w:sz w:val="32"/>
        </w:rPr>
        <w:t>12. Encerramento sugerido</w:t>
      </w:r>
    </w:p>
    <w:p>
      <w:pPr>
        <w:spacing w:before="0" w:after="200" w:line="276" w:lineRule="auto"/>
      </w:pPr>
      <w:r>
        <w:rPr>
          <w:rFonts w:ascii="Calibri" w:hAnsi="Calibri"/>
          <w:b w:val="0"/>
          <w:color w:val="1C2536"/>
          <w:sz w:val="23"/>
        </w:rPr>
        <w:t>“A Gamificação Operacional entrega três ganhos ao mesmo tempo: governança da regra, rastreabilidade da apuração e velocidade para fechar a competência com segurança.”</w:t>
      </w:r>
    </w:p>
    <w:sectPr w:rsidR="00FC693F" w:rsidRPr="0006063C" w:rsidSect="00034616">
      <w:footerReference w:type="default" r:id="rId9"/>
      <w:pgSz w:w="12240" w:h="15840"/>
      <w:pgMar w:top="1296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C6A82"/>
        <w:sz w:val="18"/>
      </w:rPr>
      <w:t>Gamificação UNI OPR</w:t>
    </w:r>
    <w:r>
      <w:rPr>
        <w:rFonts w:ascii="Calibri" w:hAnsi="Calibri"/>
        <w:color w:val="5C6A82"/>
        <w:sz w:val="18"/>
      </w:rPr>
      <w:t xml:space="preserve">  | 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