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aps/>
          <w:color w:val="1F3864"/>
          <w:sz w:val="36"/>
          <w:szCs w:val="36"/>
        </w:rPr>
        <w:t xml:space="preserve">UNIVERSIDADE KIMPA VITA</w:t>
      </w:r>
    </w:p>
    <w:p>
      <w:pPr>
        <w:spacing w:after="120" w:before="0"/>
        <w:jc w:val="center"/>
      </w:pPr>
      <w:r>
        <w:rPr>
          <w:color w:val="555555"/>
          <w:sz w:val="24"/>
          <w:szCs w:val="24"/>
        </w:rPr>
        <w:t xml:space="preserve">Instituto Politécnico — Curso de Engenharia Informática</w:t>
      </w:r>
    </w:p>
    <w:p>
      <w:pPr>
        <w:spacing w:after="600" w:before="0"/>
        <w:jc w:val="center"/>
      </w:pPr>
      <w:r>
        <w:rPr>
          <w:i/>
          <w:iCs/>
          <w:color w:val="777777"/>
          <w:sz w:val="22"/>
          <w:szCs w:val="22"/>
        </w:rPr>
        <w:t xml:space="preserve">Disciplina: Inteligência Artificial II</w:t>
      </w:r>
    </w:p>
    <w:p>
      <w:pPr>
        <w:pBdr>
          <w:top w:val="single" w:color="2E75B6" w:sz="6"/>
          <w:bottom w:val="single" w:color="2E75B6" w:sz="6"/>
        </w:pBdr>
        <w:spacing w:after="200" w:before="200"/>
        <w:jc w:val="center"/>
      </w:pPr>
      <w:r>
        <w:rPr>
          <w:b/>
          <w:bCs/>
          <w:caps/>
          <w:color w:val="2E75B6"/>
          <w:sz w:val="48"/>
          <w:szCs w:val="48"/>
        </w:rPr>
        <w:t xml:space="preserve">GUIÃO PRÁTICO — CAPÍTULO III</w:t>
      </w:r>
    </w:p>
    <w:p>
      <w:pPr>
        <w:spacing w:after="600" w:before="200"/>
        <w:jc w:val="center"/>
      </w:pPr>
      <w:r>
        <w:rPr>
          <w:b/>
          <w:bCs/>
          <w:color w:val="1F3864"/>
          <w:sz w:val="34"/>
          <w:szCs w:val="34"/>
        </w:rPr>
        <w:t xml:space="preserve">Aprendizagem Automática (Machine Learning)</w:t>
      </w:r>
    </w:p>
    <w:p>
      <w:pPr>
        <w:spacing w:after="120" w:before="0"/>
        <w:jc w:val="center"/>
      </w:pPr>
      <w:r>
        <w:rPr>
          <w:i/>
          <w:iCs/>
          <w:color w:val="555555"/>
          <w:sz w:val="22"/>
          <w:szCs w:val="22"/>
        </w:rPr>
        <w:t xml:space="preserve">Modelos Supervisionados • Não Supervisionados • Por Reforço</w:t>
      </w:r>
    </w:p>
    <w:p>
      <w:pPr>
        <w:spacing w:after="120" w:before="600"/>
        <w:jc w:val="center"/>
      </w:pPr>
      <w:r>
        <w:rPr>
          <w:color w:val="777777"/>
          <w:sz w:val="22"/>
          <w:szCs w:val="22"/>
        </w:rPr>
        <w:t xml:space="preserve">IIIº Ano — Engenharia Informática</w:t>
      </w:r>
    </w:p>
    <w:p>
      <w:pPr>
        <w:spacing w:after="120" w:before="0"/>
        <w:jc w:val="center"/>
      </w:pPr>
      <w:r>
        <w:rPr>
          <w:color w:val="777777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Índice</w:t>
      </w:r>
    </w:p>
    <w:p>
      <w:pPr>
        <w:spacing w:after="160" w:before="100"/>
        <w:jc w:val="both"/>
      </w:pPr>
      <w:r>
        <w:rPr>
          <w:i/>
          <w:iCs/>
          <w:sz w:val="22"/>
          <w:szCs w:val="22"/>
        </w:rPr>
        <w:t xml:space="preserve">Nota: Atualize o índice no Word (clique com botão direito &gt; Atualizar Campo).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Introdução ao Guião Prático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Este guião é um material de apoio laboratorial para a disciplina de Inteligência Artificial II (IA II), correspondente ao Capítulo III do fascículo da disciplina. O objectivo é proporcionar ao estudante uma experiência prática e comentada dos principais paradigmas de Aprendizagem Automática (Machine Learning — ML), com implementação em Python utilizando a biblioteca scikit-learn.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 guião está organizado em duas secções principais e uma tarefa final: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Secção 1: Modelos Supervisionados — Classificação e Regressão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Secção 2: Modelos Não Supervisionados — K-Means com métricas de validade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Tarefa Final: Aprendizagem por Reforço — Q-Learning num ambiente Grid World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Fundamentação Científica</w:t>
      </w:r>
    </w:p>
    <w:p>
      <w:pPr>
        <w:shd w:fill="D1ECF1" w:val="clear"/>
        <w:spacing w:after="120" w:before="120"/>
        <w:ind w:left="360" w:right="360"/>
      </w:pPr>
      <w:r>
        <w:rPr>
          <w:b/>
          <w:bCs/>
          <w:color w:val="0C5460"/>
          <w:sz w:val="20"/>
          <w:szCs w:val="20"/>
        </w:rPr>
        <w:t xml:space="preserve">💡 CONCEITO: </w:t>
      </w:r>
      <w:r>
        <w:rPr>
          <w:color w:val="0C5460"/>
          <w:sz w:val="20"/>
          <w:szCs w:val="20"/>
        </w:rPr>
        <w:t xml:space="preserve">Mitchell (1997) define: "Um programa aprende a partir da experiência E em relação a tarefas T, com medida de desempenho P, se P em T melhora com E."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A Aprendizagem Automática é um subcampo da Inteligência Artificial que permite que sistemas computacionais melhorem o seu desempenho em tarefas específicas a partir de dados, sem serem explicitamente programados para cada regra. Esta prática laboratoral operacionaliza esta definição com três paradigmas distintos: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Paradigma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 Principal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Aplicação na Prática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Supervisionado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com rótulos (labels)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Aprovação de crédito, previsão de preços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Não Supervisionado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sem rótulos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Segmentação de clientes (K-Means)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 Reforço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Agente aprende por recompensas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Navegação em labirinto (Q-Learning)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Objectivos e Requisitos do Laboratório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Objectivos Gerais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 estudante, ao finalizar este laboratório, deverá ser capaz de: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Implementar, treinar e avaliar modelos de classificação supervisionada em Python.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Aplicar correctamente a divisão treino/teste e normalização de dados.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Calcular e interpretar métricas de avaliação: Acurácia, Precisão, Recall, F1-Score, AUC-ROC.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Visualizar e interpretar Matrizes de Confusão e Curvas ROC.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Aplicar K-Means com determinação do K ideal por três métricas de validação.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Compreender o mecanismo do Q-Learning e implementar um agente simples.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Ferramentas e Tecnologias Necessárias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Para a execução deste laboratório, são necessárias as seguintes ferramentas: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Mínima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Linguagem de programação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Modelos de ML, métricas, pré-processamento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Manipulação de dados tabulares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1.24+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Operações numéricas e matrizes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matplotlib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3.7+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Visualizações gráficas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seaborn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0.12+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Gráficos estatísticos avançados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6.5+ (opcional)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Ambiente interactivo recomendado</w:t>
            </w:r>
          </w:p>
        </w:tc>
      </w:tr>
    </w:tbl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Instalação das Dependências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Execute o seguinte comando no terminal para instalar todas as bibliotecas necessárias: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Instalar todas as dependências de uma vez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scikit-learn pandas numpy matplotlib seaborn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Verificar instalação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-c "import sklearn; print(sklearn.__version__)"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Estrutura dos Ficheiros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pratica_ml/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datasets/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credito_bancario.csv      # Dataset de classificação (300 amostras)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precos_imoveis.csv        # Dataset de regressão (200 amostras)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clientes_ecommerce.csv    # Dataset de clustering (250 amostras)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codigos/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secao1_supervisionado.py  # Secção 1: Modelos Supervisionados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secao2_nao_supervisionado.py  # Secção 2: K-Means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tarefa_reforco_qlearning.py   # Tarefa: Q-Learning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figuras/                      # Gráficos gerados automaticamente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Secção 1: Modelos Supervisionados</w:t>
      </w:r>
    </w:p>
    <w:p>
      <w:pPr>
        <w:shd w:fill="D1ECF1" w:val="clear"/>
        <w:spacing w:after="120" w:before="120"/>
        <w:ind w:left="360" w:right="360"/>
      </w:pPr>
      <w:r>
        <w:rPr>
          <w:b/>
          <w:bCs/>
          <w:color w:val="0C5460"/>
          <w:sz w:val="20"/>
          <w:szCs w:val="20"/>
        </w:rPr>
        <w:t xml:space="preserve">💡 CONCEITO: </w:t>
      </w:r>
      <w:r>
        <w:rPr>
          <w:color w:val="0C5460"/>
          <w:sz w:val="20"/>
          <w:szCs w:val="20"/>
        </w:rPr>
        <w:t xml:space="preserve">Aprendizagem Supervisionada: o modelo é treinado com dados rotulados (pares entrada → saída desejada). O algoritmo aprende a mapear features para o target correcto.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1.1 Dataset: Aprovação de Crédito Bancário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Para esta secção, utilizamos um dataset simulado com 300 amostras representando pedidos de crédito bancário. O problema é de classificação binária: prever se um cliente será Aprovado (1) ou Recusado (0).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Variáveis do dataset: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Idade: idade do cliente (18–64 anos)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Pontuacao_Credito: pontuação de crédito (300–850)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Rendimento_Mensal: rendimento em USD (500–5000)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Anos_Historico: anos de histórico bancário (0–9)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Divida_Total: dívida total actual em USD (0–8000)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Aprovado: variável-alvo — 1=Aprovado, 0=Recusado</w:t>
      </w:r>
    </w:p>
    <w:p>
      <w:pP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0"/>
          <w:szCs w:val="20"/>
        </w:rPr>
        <w:t xml:space="preserve">⚠ NOTA: </w:t>
      </w:r>
      <w:r>
        <w:rPr>
          <w:i/>
          <w:iCs/>
          <w:color w:val="856404"/>
          <w:sz w:val="20"/>
          <w:szCs w:val="20"/>
        </w:rPr>
        <w:t xml:space="preserve">Distribuição: 60.3% Recusado, 39.7% Aprovado — ligeiro desequilíbrio de classes. Por isso, AUC-ROC é preferível à Acurácia como métrica principal.</w:t>
      </w:r>
    </w:p>
    <w:p>
      <w:pPr>
        <w:spacing w:after="80" w:before="200"/>
        <w:jc w:val="center"/>
      </w:pPr>
      <w:r>
        <w:drawing>
          <wp:inline distT="0" distB="0" distL="0" distR="0">
            <wp:extent cx="152400" cy="8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1.1 — Distribuição das variáveis no dataset de crédito bancário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1.2 Pré-Processamento: Divisão Treino/Teste e Normalização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Antes de treinar qualquer modelo, os dados devem ser preparados correctamente. Duas etapas são fundamentais: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1.2.1 Divisão Treino/Teste (70%/30%)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Os dados são divididos aleatoriamente em dois conjuntos mutuamente exclusivos: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Conjunto de Treino (70% = 210 amostras): usado para o algoritmo aprender os padrões.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Conjunto de Teste (30% = 90 amostras): nunca visto durante o treino — simula dados novos reais.</w:t>
      </w:r>
    </w:p>
    <w:p>
      <w:pP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0"/>
          <w:szCs w:val="20"/>
        </w:rPr>
        <w:t xml:space="preserve">⚠ NOTA: </w:t>
      </w:r>
      <w:r>
        <w:rPr>
          <w:i/>
          <w:iCs/>
          <w:color w:val="856404"/>
          <w:sz w:val="20"/>
          <w:szCs w:val="20"/>
        </w:rPr>
        <w:t xml:space="preserve">O parâmetro stratify=y garante que a proporção de classes (60%/40%) seja mantida em ambos os conjuntos — técnica chamada Divisão Estratificada. Sem isto, por azar, o conjunto de teste poderia ter proporções muito diferentes do treino.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Separar features (X) e target (y)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df.drop("Aprovado", axis=1)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df["Aprovado"]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70% treino, 30% teste, estratificado, reproduzível (random_state=42)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X, y, test_size=0.30, random_state=42, stratify=y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1.2.2 Normalização com StandardScaler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 StandardScaler transforma cada feature para ter média=0 e desvio padrão=1 (z-score):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z = (x − μ) / σ</w:t>
      </w:r>
    </w:p>
    <w:p>
      <w:pP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0"/>
          <w:szCs w:val="20"/>
        </w:rPr>
        <w:t xml:space="preserve">⚠ NOTA: </w:t>
      </w:r>
      <w:r>
        <w:rPr>
          <w:i/>
          <w:iCs/>
          <w:color w:val="856404"/>
          <w:sz w:val="20"/>
          <w:szCs w:val="20"/>
        </w:rPr>
        <w:t xml:space="preserve">IMPORTANTE: O scaler é ajustado APENAS nos dados de treino (fit_transform) e depois aplicado ao teste (transform). Se ajustarmos no teste, ocorre data leakage — o modelo "vê" informação do teste antes de ser avaliado, dando uma estimativa optimista e falsa do desempenho.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StandardScaler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StandardScaler()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fit_transform: aprende μ e σ do TREINO e transforma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X_train_sc = scaler.fit_transform(X_train)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transform: usa μ e σ do TREINO para transformar o TESTE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NÃO usa fit aqui — evita data leakage!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X_test_sc  = scaler.transform(X_test)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1.3 Modelos de Classificação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1.3.1 KNN — K-Vizinhos Mais Próximos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 KNN é um algoritmo baseado em instâncias: para classificar uma nova amostra, encontra os K pontos mais próximos no espaço de features e faz votação maioritária.</w:t>
      </w:r>
    </w:p>
    <w:p>
      <w:pPr>
        <w:shd w:fill="D1ECF1" w:val="clear"/>
        <w:spacing w:after="120" w:before="120"/>
        <w:ind w:left="360" w:right="360"/>
      </w:pPr>
      <w:r>
        <w:rPr>
          <w:b/>
          <w:bCs/>
          <w:color w:val="0C5460"/>
          <w:sz w:val="20"/>
          <w:szCs w:val="20"/>
        </w:rPr>
        <w:t xml:space="preserve">💡 CONCEITO: </w:t>
      </w:r>
      <w:r>
        <w:rPr>
          <w:color w:val="0C5460"/>
          <w:sz w:val="20"/>
          <w:szCs w:val="20"/>
        </w:rPr>
        <w:t xml:space="preserve">Escolha de K=5: um K pequeno (K=1) causa overfitting (muita sensibilidade ao ruído); um K grande causa underfitting (suaviza demasiado as fronteiras de decisão). K=5 é um bom ponto de partida.</w:t>
      </w:r>
    </w:p>
    <w:p>
      <w:pP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0"/>
          <w:szCs w:val="20"/>
        </w:rPr>
        <w:t xml:space="preserve">⚠ NOTA: </w:t>
      </w:r>
      <w:r>
        <w:rPr>
          <w:i/>
          <w:iCs/>
          <w:color w:val="856404"/>
          <w:sz w:val="20"/>
          <w:szCs w:val="20"/>
        </w:rPr>
        <w:t xml:space="preserve">KNN exige obrigatoriamente normalização: sem ela, variáveis de maior escala (ex: Rendimento_Mensal ~2000) dominam o cálculo de distância euclidiana sobre variáveis de menor escala (ex: Anos_Historico ~5).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sklearn.neighbors import KNeighborsClassifier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K=5, distância euclidiana (padrão)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 = KNeighborsClassifier(n_neighbors=5, metric="euclidean")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Treinar com dados normalizados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knn.fit(X_train_sc, y_train)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Prever no conjunto de teste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y_pred_knn  = knn.predict(X_test_sc)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y_prob_knn  = knn.predict_proba(X_test_sc)[:, 1]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print(f"Acurácia Treino: {knn.score(X_train_sc, y_train):.4f}")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print(f"Acurácia Teste:  {accuracy_score(y_test, y_pred_knn):.4f}")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1.3.2 Árvore de Decisão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Uma Árvore de Decisão divide recursivamente o espaço de features com base em perguntas binárias (ex: "Pontuacao_Credito &gt; 600?"). O critério gini mede a impureza de cada nó.</w:t>
      </w:r>
    </w:p>
    <w:p>
      <w:pPr>
        <w:shd w:fill="D1ECF1" w:val="clear"/>
        <w:spacing w:after="120" w:before="120"/>
        <w:ind w:left="360" w:right="360"/>
      </w:pPr>
      <w:r>
        <w:rPr>
          <w:b/>
          <w:bCs/>
          <w:color w:val="0C5460"/>
          <w:sz w:val="20"/>
          <w:szCs w:val="20"/>
        </w:rPr>
        <w:t xml:space="preserve">💡 CONCEITO: </w:t>
      </w:r>
      <w:r>
        <w:rPr>
          <w:color w:val="0C5460"/>
          <w:sz w:val="20"/>
          <w:szCs w:val="20"/>
        </w:rPr>
        <w:t xml:space="preserve">Vantagem chave: é completamente interpretável — podemos visualizar e explicar cada decisão. Desvantagem: alta variância — pequenas mudanças nos dados de treino podem gerar árvores muito diferentes.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sklearn.tree import DecisionTreeClassifier, plot_tree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max_depth=5 limita profundidade para evitar overfitting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criterion="gini" minimiza impureza de Gini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 = DecisionTreeClassifier(max_depth=5, criterion="gini", random_state=42)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Árvore NÃO precisa de normalização (baseada em limiares)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dt.fit(X_train, y_train)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Visualizar a árvore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fig, ax = plt.subplots(figsize=(20, 8))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plot_tree(dt, feature_names=X.columns, class_names=["Recusado","Aprovado"],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filled=True, rounded=True, ax=ax)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plt.savefig("arvore_decisao.png", dpi=100, bbox_inches="tight")</w:t>
      </w:r>
    </w:p>
    <w:p>
      <w:pPr>
        <w:spacing w:after="80" w:before="200"/>
        <w:jc w:val="center"/>
      </w:pPr>
      <w:r>
        <w:drawing>
          <wp:inline distT="0" distB="0" distL="0" distR="0">
            <wp:extent cx="161925" cy="6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1.2 — Árvore de Decisão treinada (max_depth=3 para visibilidade)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1.3.3 Random Forest (Floresta Aleatória)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 Random Forest é um ensemble de múltiplas Árvores de Decisão. Cada árvore é treinada num subconjunto aleatório dos dados (bootstrap) e com um subconjunto aleatório das features. A predição final é a votação maioritária.</w:t>
      </w:r>
    </w:p>
    <w:p>
      <w:pPr>
        <w:shd w:fill="D1ECF1" w:val="clear"/>
        <w:spacing w:after="120" w:before="120"/>
        <w:ind w:left="360" w:right="360"/>
      </w:pPr>
      <w:r>
        <w:rPr>
          <w:b/>
          <w:bCs/>
          <w:color w:val="0C5460"/>
          <w:sz w:val="20"/>
          <w:szCs w:val="20"/>
        </w:rPr>
        <w:t xml:space="preserve">💡 CONCEITO: </w:t>
      </w:r>
      <w:r>
        <w:rPr>
          <w:color w:val="0C5460"/>
          <w:sz w:val="20"/>
          <w:szCs w:val="20"/>
        </w:rPr>
        <w:t xml:space="preserve">Random Forest resolve o principal problema da Árvore de Decisão: instabilidade. O conjunto de 100 árvores é muito mais robusto do que qualquer árvore individual — redução da variância por agregação (bagging).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sklearn.ensemble import RandomForestClassifier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n_estimators=100: 100 árvores no ensemble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max_depth=5: cada árvore limitada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n_jobs=-1: paralelizar em todos os núcleos da CPU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 = RandomForestClassifier(n_estimators=100, max_depth=5,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random_state=42, n_jobs=-1)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rf.fit(X_train, y_train)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Importância das features: quais variáveis mais influenciaram?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feat_imp = pd.Series(rf.feature_importances_, index=X.columns)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feat_imp.sort_values().plot(kind="barh")</w:t>
      </w:r>
    </w:p>
    <w:p>
      <w:pPr>
        <w:spacing w:after="80" w:before="200"/>
        <w:jc w:val="center"/>
      </w:pPr>
      <w:r>
        <w:drawing>
          <wp:inline distT="0" distB="0" distL="0" distR="0">
            <wp:extent cx="95250" cy="5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1.3 — Importância das features no Random Forest (Gini Importance)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1.3.4 SVM — Máquina de Vectores de Suporte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 SVM encontra o hiperplano que maximiza a margem de separação entre as classes. O kernel RBF (Radial Basis Function) transforma os dados para um espaço de maior dimensão onde são linearmente separáveis — o "kernel trick" descrito no Capítulo III.</w:t>
      </w:r>
    </w:p>
    <w:p>
      <w:pPr>
        <w:shd w:fill="D1ECF1" w:val="clear"/>
        <w:spacing w:after="120" w:before="120"/>
        <w:ind w:left="360" w:right="360"/>
      </w:pPr>
      <w:r>
        <w:rPr>
          <w:b/>
          <w:bCs/>
          <w:color w:val="0C5460"/>
          <w:sz w:val="20"/>
          <w:szCs w:val="20"/>
        </w:rPr>
        <w:t xml:space="preserve">💡 CONCEITO: </w:t>
      </w:r>
      <w:r>
        <w:rPr>
          <w:color w:val="0C5460"/>
          <w:sz w:val="20"/>
          <w:szCs w:val="20"/>
        </w:rPr>
        <w:t xml:space="preserve">C=1.0 é o parâmetro de regularização: C alto = margens menores, menos erros no treino (risco de overfitting); C baixo = margens maiores, mais tolerante a erros (risco de underfitting).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sklearn.svm import SVC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kernel="rbf": Radial Basis Function (não-linear)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C=1.0: regularização (trade-off margem vs. erros)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probability=True: necessário para calcular AUC-ROC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 = SVC(kernel="rbf", C=1.0, probability=True, random_state=42)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SVM EXIGE normalização — muito sensível à escala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svm.fit(X_train_sc, y_train)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y_pred_svm = svm.predict(X_test_sc)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y_prob_svm = svm.predict_proba(X_test_sc)[:, 1]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1.4 Métricas de Avaliação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1.4.1 Matrizes de Confusão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A Matriz de Confusão desagrega as previsões em quatro categorias: VP (Verdadeiros Positivos), VN (Verdadeiros Negativos), FP (Falsos Positivos) e FN (Falsos Negativos). Fornece muito mais informação do que a simples acurácia.</w:t>
      </w:r>
    </w:p>
    <w:p>
      <w:pP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0"/>
          <w:szCs w:val="20"/>
        </w:rPr>
        <w:t xml:space="preserve">⚠ NOTA: </w:t>
      </w:r>
      <w:r>
        <w:rPr>
          <w:i/>
          <w:iCs/>
          <w:color w:val="856404"/>
          <w:sz w:val="20"/>
          <w:szCs w:val="20"/>
        </w:rPr>
        <w:t xml:space="preserve">Em aprovação de crédito: um FN (cliente aprovado classificado como recusado) representa perda de negócio. Um FP (cliente recusado classificado como aprovado) representa risco de incumprimento. O custo de cada erro depende do contexto de negócio.</w:t>
      </w:r>
    </w:p>
    <w:p>
      <w:pPr>
        <w:spacing w:after="80" w:before="200"/>
        <w:jc w:val="center"/>
      </w:pPr>
      <w:r>
        <w:drawing>
          <wp:inline distT="0" distB="0" distL="0" distR="0">
            <wp:extent cx="1524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1.4 — Matrizes de Confusão para os 4 modelos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1.4.2 Métricas Derivadas da Matriz de Confusão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accuracy_score, precision_score,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recall_score, f1_score, roc_auc_score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Acurácia: (VP + VN) / Total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  = accuracy_score(y_test, y_pred)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Precisão: VP / (VP + FP) — dos que previ positivo, quantos eram?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prec = precision_score(y_test, y_pred)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Recall (Sensibilidade): VP / (VP + FN) — dos positivos reais, quantos detectei?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rec  = recall_score(y_test, y_pred)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F1-Score: 2 × (Precisão × Recall) / (Precisão + Recall)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f1   = f1_score(y_test, y_pred)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AUC-ROC: área sob a curva ROC (usa probabilidades, não classe)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auc  = roc_auc_score(y_test, y_prob)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1.4.3 Curvas ROC e AUC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A Curva ROC plota a Taxa de Verdadeiros Positivos (TPR=Recall) contra a Taxa de Falsos Positivos (FPR) para todos os limiares de decisão possíveis. AUC=1.0 é o classificador perfeito; AUC=0.5 é equivalente a adivinhar aleatoriamente.</w:t>
      </w:r>
    </w:p>
    <w:p>
      <w:pPr>
        <w:spacing w:after="80" w:before="200"/>
        <w:jc w:val="center"/>
      </w:pPr>
      <w:r>
        <w:drawing>
          <wp:inline distT="0" distB="0" distL="0" distR="0">
            <wp:extent cx="123825" cy="9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1.5 — Curvas ROC dos 4 modelos. O modelo SVM (linha roxa) obteve AUC=0.764, o melhor resultado.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1.4.4 Validação Cruzada K-Fold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A validação cruzada k-fold divide os dados em K=5 grupos. Em cada iteração, um grupo diferente é usado como validação e os restantes 4 como treino. O desempenho final é a média±desvio padrão dos 5 resultados — estimativa mais robusta e menos dependente da aleatoriedade da divisão.</w:t>
      </w:r>
    </w:p>
    <w:p>
      <w:pPr>
        <w:spacing w:after="80" w:before="200"/>
        <w:jc w:val="center"/>
      </w:pPr>
      <w:r>
        <w:drawing>
          <wp:inline distT="0" distB="0" distL="0" distR="0">
            <wp:extent cx="123825" cy="6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1.6 — Validação Cruzada 5-Fold. Random Forest e SVM mostram maior estabilidade (menor dispersão).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1.5 Tabela Comparativa Final — Classificação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Com base nas métricas calculadas no conjunto de teste, apresentamos a comparação dos 4 modelos: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Acurácia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KNN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0.6154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0.4444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0.5161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0.7050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Árvore de Decisão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0.6778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0.6061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0.5556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0.5797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0.7325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0.6889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0.5556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0.5882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0.7587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SVM ★ MELHOR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0.4722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0.5574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5276"/>
                <w:sz w:val="20"/>
                <w:szCs w:val="20"/>
              </w:rPr>
              <w:t xml:space="preserve">0.7639</w:t>
            </w:r>
          </w:p>
        </w:tc>
      </w:tr>
    </w:tbl>
    <w:p>
      <w:pPr>
        <w:spacing w:after="160" w:before="100"/>
        <w:jc w:val="both"/>
      </w:pPr>
      <w:r>
        <w:rPr>
          <w:sz w:val="22"/>
          <w:szCs w:val="22"/>
        </w:rPr>
        <w:t xml:space="preserve"/>
      </w:r>
    </w:p>
    <w:p>
      <w:pPr>
        <w:shd w:fill="D1ECF1" w:val="clear"/>
        <w:spacing w:after="120" w:before="120"/>
        <w:ind w:left="360" w:right="360"/>
      </w:pPr>
      <w:r>
        <w:rPr>
          <w:b/>
          <w:bCs/>
          <w:color w:val="0C5460"/>
          <w:sz w:val="20"/>
          <w:szCs w:val="20"/>
        </w:rPr>
        <w:t xml:space="preserve">💡 CONCEITO: </w:t>
      </w:r>
      <w:r>
        <w:rPr>
          <w:color w:val="0C5460"/>
          <w:sz w:val="20"/>
          <w:szCs w:val="20"/>
        </w:rPr>
        <w:t xml:space="preserve">CONCLUSÃO: O SVM com kernel RBF obteve o melhor AUC-ROC (0.7639) — maior capacidade discriminativa. O Random Forest tem melhor equilíbrio Recall/F1. A escolha do modelo depende do objectivo: maximizar AUC → SVM; maximizar Recall → Random Forest.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1.6 Regressão Linear — Previsão de Preços de Imóveis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Para problemas com saída contínua (não discreta), usamos Regressão. O dataset de preços de imóveis tem 200 amostras com variáveis: Área (m²), Quartos, Distância ao Centro, Ano de Construção e Garagem. A saída é o preço em USD.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 modelo de Regressão Linear aprende os coeficientes β que minimizam o MSE (Erro Quadrático Médio):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sklearn.linear_model import LinearRegression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mean_squared_error, r2_score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 = LinearRegression()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lr.fit(X_reg_train_sc, y_reg_train)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y_pred = lr.predict(X_reg_test_sc)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Coeficientes: impacto de cada variável no preço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feat, coef in zip(X_reg.columns, lr.coef_):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print(f"{feat}: {coef:.2f} USD por unidade")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print(f"R²   = {r2_score(y_reg_test, y_pred):.4f}")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print(f"RMSE = {mean_squared_error(y_reg_test, y_pred, squared=False):.2f} USD")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Resultados obtidos: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R² = 0.9793 — o modelo explica 97.9% da variância do preço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RMSE = $13,195 — erro típico de previsão (em 200k médio, ≈6.6% de erro)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MAE = $10,763 — erro absoluto médio</w:t>
      </w:r>
    </w:p>
    <w:p>
      <w:pPr>
        <w:spacing w:after="80" w:before="200"/>
        <w:jc w:val="center"/>
      </w:pPr>
      <w:r>
        <w:drawing>
          <wp:inline distT="0" distB="0" distL="0" distR="0">
            <wp:extent cx="152400" cy="5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1.7 — Gráfico Real vs Previsto (R²=0.98) e distribuição dos resíduos centrada em 0.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Secção 2: Modelos Não Supervisionados — K-Means</w:t>
      </w:r>
    </w:p>
    <w:p>
      <w:pPr>
        <w:shd w:fill="D1ECF1" w:val="clear"/>
        <w:spacing w:after="120" w:before="120"/>
        <w:ind w:left="360" w:right="360"/>
      </w:pPr>
      <w:r>
        <w:rPr>
          <w:b/>
          <w:bCs/>
          <w:color w:val="0C5460"/>
          <w:sz w:val="20"/>
          <w:szCs w:val="20"/>
        </w:rPr>
        <w:t xml:space="preserve">💡 CONCEITO: </w:t>
      </w:r>
      <w:r>
        <w:rPr>
          <w:color w:val="0C5460"/>
          <w:sz w:val="20"/>
          <w:szCs w:val="20"/>
        </w:rPr>
        <w:t xml:space="preserve">Aprendizagem Não Supervisionada: os dados NÃO têm rótulos. O algoritmo descobre por si próprio a estrutura intrínseca — agrupamentos, padrões ocultos, representações compactas.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2.1 Dataset: Clientes E-Commerce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Para esta secção, utilizamos dados de 250 clientes de uma plataforma de comércio electrónico, sem qualquer rótulo de segmento. O objectivo é descobrir grupos naturais de clientes para estratégias de marketing personalizadas.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Variáveis (todas numéricas, sem target):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Idade: idade do cliente (18–70 anos)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Gasto_Mensal: gasto médio mensal em USD (50–800)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Frequencia_Compras: número de compras por mês (1–19)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Tempo_Plataforma_h: horas diárias na plataforma (0.5–10)</w:t>
      </w:r>
    </w:p>
    <w:p>
      <w:pPr>
        <w:spacing w:after="80" w:before="200"/>
        <w:jc w:val="center"/>
      </w:pPr>
      <w:r>
        <w:drawing>
          <wp:inline distT="0" distB="0" distL="0" distR="0">
            <wp:extent cx="13335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2.1 — Matriz de dispersão dos dados de clientes. Observam-se grupos naturais em algumas combinações de variáveis.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2.2 K-Means: Algoritmo e Pré-Processamento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2.2.1 Como funciona o K-Means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 algoritmo K-Means agrupa N amostras em K clusters, minimizando a soma das distâncias quadráticas intra-cluster (WCSS):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WCSS = Σ Σ ||xi - μk||²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xi = ponto no cluster k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μk = centróide do cluster k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Algoritmo: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Inicializar K centróides (k-means++ é mais inteligente)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Atribuir cada ponto ao centróide mais próximo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Recalcular centróides (média do cluster)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Repetir 2-3 até convergência (centróides estáveis)</w:t>
      </w:r>
    </w:p>
    <w:p>
      <w:pP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0"/>
          <w:szCs w:val="20"/>
        </w:rPr>
        <w:t xml:space="preserve">⚠ NOTA: </w:t>
      </w:r>
      <w:r>
        <w:rPr>
          <w:i/>
          <w:iCs/>
          <w:color w:val="856404"/>
          <w:sz w:val="20"/>
          <w:szCs w:val="20"/>
        </w:rPr>
        <w:t xml:space="preserve">O único hiperparâmetro do K-Means é K — o número de clusters. Escolher K correctamente é o principal desafio. Usamos 3 métricas de validade interna.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2.2.2 Normalização Obrigatória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sklearn.preprocessing import StandardScaler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scaler = StandardScaler()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X_scaled = scaler.fit_transform(df)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JUSTIFICAÇÃO: K-Means usa distância euclidiana.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Sem normalização, Gasto_Mensal (~300 USD) domina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Frequencia_Compras (~7 compras) no cálculo de distância.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StandardScaler garante que todas as variáveis contribuam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igualmente para a formação dos clusters.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2.3 Determinação do K Ideal — Três Métricas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Testamos K de 2 a 10 e calculamos três índices de validade interna para determinar o K óptimo: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Métrica 1: Método do Cotovelo (Elbow Method — WCSS)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Plota o WCSS em função de K. Procuramos o "cotovelo" — ponto onde adicionar mais clusters já não reduz significativamente o WCSS. Analogia: é como dobrar um papel — o ângulo mais nítido indica o ponto óptimo.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Métrica 2: Índice de Silhouette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Mede quão bem cada amostra se encaixa no seu cluster vs. no cluster vizinho. Varia de -1 a +1: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+1: amostra muito bem agrupada (longe dos outros clusters)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0: amostra na fronteira entre clusters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-1: amostra provavelmente no cluster errado</w:t>
      </w:r>
    </w:p>
    <w:p>
      <w:pPr>
        <w:pStyle w:val="Heading3"/>
        <w:spacing w:after="120" w:before="240"/>
      </w:pPr>
      <w:r>
        <w:rPr>
          <w:b/>
          <w:bCs/>
          <w:color w:val="154360"/>
          <w:sz w:val="22"/>
          <w:szCs w:val="22"/>
        </w:rPr>
        <w:t xml:space="preserve">Métrica 3: Índice de Calinski-Harabasz (CH Score)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Mede a razão entre a dispersão inter-cluster (entre clusters) e a dispersão intra-cluster (dentro dos clusters). Valores maiores indicam clusters mais compactos e bem separados.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sklearn.cluster import KMeans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sklearn.metrics import silhouette_score, calinski_harabasz_score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wcss_vals, sil_vals, ch_vals = [], [], []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k in range(2, 11):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km = KMeans(n_clusters=k, init="k-means++", n_init=10, random_state=42)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labels = km.fit_predict(X_scaled)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wcss_vals.append(km.inertia_)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sil_vals.append(silhouette_score(X_scaled, labels))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ch_vals.append(calinski_harabasz_score(X_scaled, labels))</w:t>
      </w:r>
    </w:p>
    <w:p>
      <w:pPr>
        <w:spacing w:after="80" w:before="200"/>
        <w:jc w:val="center"/>
      </w:pPr>
      <w:r>
        <w:drawing>
          <wp:inline distT="0" distB="0" distL="0" distR="0">
            <wp:extent cx="161925" cy="5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2.2 — Três métricas de validação. Todas apontam para K=3: cotovelo em K=3, Silhouette e CH máximos em K=3.</w:t>
      </w:r>
    </w:p>
    <w:p>
      <w:pPr>
        <w:shd w:fill="D1ECF1" w:val="clear"/>
        <w:spacing w:after="120" w:before="120"/>
        <w:ind w:left="360" w:right="360"/>
      </w:pPr>
      <w:r>
        <w:rPr>
          <w:b/>
          <w:bCs/>
          <w:color w:val="0C5460"/>
          <w:sz w:val="20"/>
          <w:szCs w:val="20"/>
        </w:rPr>
        <w:t xml:space="preserve">💡 CONCEITO: </w:t>
      </w:r>
      <w:r>
        <w:rPr>
          <w:color w:val="0C5460"/>
          <w:sz w:val="20"/>
          <w:szCs w:val="20"/>
        </w:rPr>
        <w:t xml:space="preserve">DECISÃO JUSTIFICADA: As 3 métricas convergem para K=3 — cotovelo visível em K=3, Silhouette Score máximo (0.4514) em K=3, CH Score máximo (209.55) em K=3. Adicionalmente, K=3 tem interpretabilidade de negócio: jovens, adultos e seniores.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2.4 Treinamento Final e Interpretação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Treinar K-Means final com K=3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init="k-means++": inicialização inteligente dos centróides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n_init=10: repetir 10 vezes, escolher melhor (menor WCSS)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kmeans = KMeans(n_clusters=3, init="k-means++", n_init=10, random_state=42)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labels = kmeans.fit_predict(X_scaled)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df["Cluster"] = labels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Métricas finais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print(f"WCSS:              {kmeans.inertia_:.2f}")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print(f"Silhouette Score:  {silhouette_score(X_scaled,labels):.4f}")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print(f"Calinski-Harabasz: {calinski_harabasz_score(X_scaled,labels):.2f}")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Resultados com K=3 (500 iterações, convergiu em 4):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1800"/>
        <w:gridCol w:w="4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Nº Clientes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Idade 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Gasto Médio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Freq. Compras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 (Adultos ricos)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82 (32.8%)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 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$528/mês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valor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 (Jovens activos)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 (39.6%)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$164/mês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 (Seniores)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69 (27.6%)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 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$272/mês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3/mês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Ocasional</w:t>
            </w:r>
          </w:p>
        </w:tc>
      </w:tr>
    </w:tbl>
    <w:p>
      <w:pPr>
        <w:spacing w:after="160" w:before="100"/>
        <w:jc w:val="both"/>
      </w:pPr>
      <w:r>
        <w:rPr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drawing>
          <wp:inline distT="0" distB="0" distL="0" distR="0">
            <wp:extent cx="1524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2.3 — Visualização dos 3 clusters em múltiplas combinações de variáveis.</w:t>
      </w:r>
    </w:p>
    <w:p>
      <w:pPr>
        <w:spacing w:after="80" w:before="200"/>
        <w:jc w:val="center"/>
      </w:pPr>
      <w:r>
        <w:drawing>
          <wp:inline distT="0" distB="0" distL="0" distR="0">
            <wp:extent cx="152400" cy="5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2.4 — Perfil comparativo e distribuição de clientes por cluster.</w:t>
      </w:r>
    </w:p>
    <w:p>
      <w:pPr>
        <w:spacing w:after="80" w:before="200"/>
        <w:jc w:val="center"/>
      </w:pPr>
      <w:r>
        <w:drawing>
          <wp:inline distT="0" distB="0" distL="0" distR="0">
            <wp:extent cx="114300" cy="8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2.5 — Clusters visualizados em 2D via PCA. Os centróides (X preto) estão bem separados.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Tarefa Final: Aprendizagem por Reforço — Q-Learning</w:t>
      </w:r>
    </w:p>
    <w:p>
      <w:pPr>
        <w:shd w:fill="D1ECF1" w:val="clear"/>
        <w:spacing w:after="120" w:before="120"/>
        <w:ind w:left="360" w:right="360"/>
      </w:pPr>
      <w:r>
        <w:rPr>
          <w:b/>
          <w:bCs/>
          <w:color w:val="0C5460"/>
          <w:sz w:val="20"/>
          <w:szCs w:val="20"/>
        </w:rPr>
        <w:t xml:space="preserve">💡 CONCEITO: </w:t>
      </w:r>
      <w:r>
        <w:rPr>
          <w:color w:val="0C5460"/>
          <w:sz w:val="20"/>
          <w:szCs w:val="20"/>
        </w:rPr>
        <w:t xml:space="preserve">Aprendizagem por Reforço: um agente aprende a tomar decisões interagindo com um ambiente. Recebe recompensas por boas acções e penalizações por más — sem dados rotulados, sem supervisor. Aprende por tentativa e erro.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3.1 Ambiente: Grid World 5×5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Implementamos um agente que aprende a navegar num labirinto 5×5. Este é o exemplo clássico introdutório de Aprendizagem por Reforço, referenciado no Capítulo III do fascículo.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Componentes do ambiente: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Estado (s): posição actual do agente — coordenadas (linha, coluna)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Acções (a): 4 possíveis — Cima (↑), Baixo (↓), Esquerda (←), Direita (→)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Recompensa (r): +100 ao chegar ao destino, −10 ao bater num obstáculo, −1 por passo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Objectivo: maximizar a recompensa total acumulada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3.2 Algoritmo Q-Learning e Equação de Bellman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 Q-Learning mantém uma tabela Q[s,a] que representa o valor esperado de executar a acção a no estado s. A actualização segue a equação de Bellman: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Equação de Bellman (actualização Q-Learning):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Q(s,a) ← Q(s,a) + α × [r + γ × max Q(s',a') - Q(s,a)]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α (alpha) = 0.1  — taxa de aprendizagem (quanto atualizar)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γ (gamma) = 0.95 — factor de desconto (valor de recomp. futura)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          = recompensa imediata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max Q(s',a') = melhor acção possível no próximo estado s'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Política ε-greedy: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np.random.rand() &lt; epsilon: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action = np.random.randint(N_ACTIONS)    # Exploração (aleatório)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action = np.argmax(Q_table[s_row, s_col]) # Exploração (melhor Q)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ε decai de 1.0 → 0.01 ao longo dos episódios: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início: 100% exploração (aprende o ambiente)</w:t>
      </w:r>
    </w:p>
    <w:p>
      <w:pPr>
        <w:pBdr>
          <w:left w:val="single" w:color="2E75B6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fim:    1% exploração (usa o que aprendeu)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3.3 Resultados do Treinamento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 agente foi treinado durante 500 episódios. Os resultados demonstram a curva de aprendizagem característica do Reforço: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Episódio 100: Taxa de sucesso 94% — aprendizagem rápida inicial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Episódio 200: Taxa de sucesso 100% — política óptima encontrada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Episódios 300–500: 100% consistente — consolidação do conhecimento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Percurso óptimo: 8 passos (S→G, evitando todos os obstáculos)</w:t>
      </w:r>
    </w:p>
    <w:p>
      <w:pPr>
        <w:spacing w:after="80" w:before="200"/>
        <w:jc w:val="center"/>
      </w:pPr>
      <w:r>
        <w:drawing>
          <wp:inline distT="0" distB="0" distL="0" distR="0">
            <wp:extent cx="161925" cy="5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3.1 — Curvas de treino: recompensa cresce, passos diminuem, taxa de sucesso converge para 100%.</w:t>
      </w:r>
    </w:p>
    <w:p>
      <w:pPr>
        <w:spacing w:after="80" w:before="200"/>
        <w:jc w:val="center"/>
      </w:pPr>
      <w:r>
        <w:drawing>
          <wp:inline distT="0" distB="0" distL="0" distR="0">
            <wp:extent cx="152400" cy="6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Figura 3.2 — Mapa do labirinto (esq.) e política óptima aprendida (dir.). As setas mostram a melhor acção em cada estado.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3.4 Enunciado da Tarefa para os Estudantes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Com base na implementação demonstrada, realize as seguintes tarefas: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Execute o ficheiro tarefa_reforco_qlearning.py e registe as curvas de aprendizagem.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Modifique o parâmetro alpha para 0.3 e 0.01. Compare a velocidade de convergência e interprete a diferença.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Aumente o grid para 7×7 e adicione 6 obstáculos. O agente ainda converge? Em quantos episódios?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Altere a recompensa do destino para +50. O comportamento do agente muda? Justifique.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(Desafio) Implemente uma segunda variante com γ=0.5. Compare com γ=0.95. O que observa sobre o planeamento a longo prazo?</w:t>
      </w:r>
    </w:p>
    <w:p>
      <w:pPr>
        <w:shd w:fill="FFF3CD" w:val="clear"/>
        <w:spacing w:after="120" w:before="120"/>
        <w:ind w:left="360" w:right="360"/>
      </w:pPr>
      <w:r>
        <w:rPr>
          <w:b/>
          <w:bCs/>
          <w:color w:val="856404"/>
          <w:sz w:val="20"/>
          <w:szCs w:val="20"/>
        </w:rPr>
        <w:t xml:space="preserve">⚠ NOTA: </w:t>
      </w:r>
      <w:r>
        <w:rPr>
          <w:i/>
          <w:iCs/>
          <w:color w:val="856404"/>
          <w:sz w:val="20"/>
          <w:szCs w:val="20"/>
        </w:rPr>
        <w:t xml:space="preserve">O Q-Learning é a base dos algoritmos modernos como Deep Q-Networks (DQN) — usado pelo DeepMind para treinar o agente Atari que superou humanos em dezenas de jogos em 2013.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Conclusão e Síntese do Capítulo III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Este guião prático operacionalizou os três paradigmas fundamentais da Aprendizagem Automática descritos no Capítulo III do fascículo de IA II: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Paradigma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Técnica Aplicada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Supervisionado — Classificação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KNN, Árvore, Random Forest, SVM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Melhor: SVM (AUC=0.764)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Supervisionado — Regressão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Regressão Linear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R²=0.98, RMSE=$13,195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Não Supervisionado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K-Means (K=3 por 3 métricas)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Silhouette=0.451, CH=209.6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 Reforço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Q-Learning (Grid 5×5)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sucesso em 200 episódios</w:t>
            </w:r>
          </w:p>
        </w:tc>
      </w:tr>
    </w:tbl>
    <w:p>
      <w:pPr>
        <w:spacing w:after="160" w:before="100"/>
        <w:jc w:val="both"/>
      </w:pPr>
      <w:r>
        <w:rPr>
          <w:sz w:val="22"/>
          <w:szCs w:val="22"/>
        </w:rPr>
        <w:t xml:space="preserve"/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Os resultados confirmam a importância de seleccionar o modelo adequado ao tipo de problema, pré-processar correctamente os dados, e avaliar com múltiplas métricas antes de decidir qual modelo usar em produção.</w:t>
      </w:r>
    </w:p>
    <w:p>
      <w:pPr>
        <w:pStyle w:val="Heading2"/>
        <w:spacing w:after="160" w:before="300"/>
      </w:pPr>
      <w:r>
        <w:rPr>
          <w:b/>
          <w:bCs/>
          <w:color w:val="2E75B6"/>
          <w:sz w:val="26"/>
          <w:szCs w:val="26"/>
        </w:rPr>
        <w:t xml:space="preserve">Referências Bibliográficas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Mitchell, T. M. (1997). Machine Learning. McGraw-Hill. ISBN: 978-0070428072.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Géron, A. (2022). Hands-On Machine Learning with Scikit-Learn, Keras, and TensorFlow (3rd ed.). O'Reilly Media. DOI: 10.1007/978-1-4842-8233-6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Pedregosa, F. et al. (2011). Scikit-learn: Machine Learning in Python. Journal of Machine Learning Research, 12, 2825–2830. JMLR: http://jmlr.org/papers/v12/pedregosa11a.html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Watkins, C. J. C. H., &amp; Dayan, P. (1992). Q-learning. Machine Learning, 8(3), 279–292. DOI: 10.1007/BF00992698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Rousseeuw, P. J. (1987). Silhouettes: A graphical aid to the interpretation and validation of cluster analysis. Journal of Computational and Applied Mathematics, 20, 53–65. DOI: 10.1016/0377-0427(87)90125-7</w:t>
      </w:r>
    </w:p>
    <w:p>
      <w:pPr>
        <w:spacing w:after="160" w:before="100"/>
        <w:jc w:val="both"/>
      </w:pPr>
      <w:r>
        <w:rPr>
          <w:sz w:val="22"/>
          <w:szCs w:val="22"/>
        </w:rPr>
        <w:t xml:space="preserve">Calinski, T., &amp; Harabasz, J. (1974). A dendrite method for cluster analysis. Communications in Statistics, 3(1), 1–27. DOI: 10.1080/03610927408827101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color w:val="777777"/>
        <w:sz w:val="18"/>
        <w:szCs w:val="18"/>
      </w:rPr>
      <w:t xml:space="preserve">Nkanga Pedro — Data Science &amp; AI-Based Decision Making | IA II — Capítulo III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</w:pPr>
    <w:r>
      <w:rPr>
        <w:color w:val="555555"/>
        <w:sz w:val="18"/>
        <w:szCs w:val="18"/>
      </w:rPr>
      <w:t xml:space="preserve">Guião Prático — Capítulo III: Aprendizagem Automática | </w:t>
    </w:r>
    <w:r>
      <w:rPr>
        <w:b/>
        <w:bCs/>
        <w:color w:val="2E75B6"/>
        <w:sz w:val="18"/>
        <w:szCs w:val="18"/>
      </w:rPr>
      <w:t xml:space="preserve">Universidade Kimpa Vita — IA 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543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0bce34d80a28dd933cccd1b1f36eb595e648ef.png"/><Relationship Id="rId10" Type="http://schemas.openxmlformats.org/officeDocument/2006/relationships/image" Target="media/e36677ff59ea5040817ca66c726e0f4cc0b16a62.png"/><Relationship Id="rId11" Type="http://schemas.openxmlformats.org/officeDocument/2006/relationships/image" Target="media/36e43b82c6adef6fe9d1b0e3fe49a5298e82e3c0.png"/><Relationship Id="rId12" Type="http://schemas.openxmlformats.org/officeDocument/2006/relationships/image" Target="media/7b1c05c9a255e4f68e91624c7b3b8159028beac0.png"/><Relationship Id="rId13" Type="http://schemas.openxmlformats.org/officeDocument/2006/relationships/image" Target="media/0d01463a037595aeb0bf150b48acc27d540d128b.png"/><Relationship Id="rId14" Type="http://schemas.openxmlformats.org/officeDocument/2006/relationships/image" Target="media/51dd7af1e5f5416422d714cec32a853d306b4ff9.png"/><Relationship Id="rId15" Type="http://schemas.openxmlformats.org/officeDocument/2006/relationships/image" Target="media/2e8b6f747392fa6ebfcad92f895e8d816d486c85.png"/><Relationship Id="rId16" Type="http://schemas.openxmlformats.org/officeDocument/2006/relationships/image" Target="media/be3c2063f5c1f627ef2d6dc5363772d241a7b314.png"/><Relationship Id="rId17" Type="http://schemas.openxmlformats.org/officeDocument/2006/relationships/image" Target="media/a61a14376e7c59a5d6fca8acaf729eb4b6659484.png"/><Relationship Id="rId18" Type="http://schemas.openxmlformats.org/officeDocument/2006/relationships/image" Target="media/cc992e34c82d589e3df5de1a897aa189f11fd185.png"/><Relationship Id="rId19" Type="http://schemas.openxmlformats.org/officeDocument/2006/relationships/image" Target="media/43efd32f1fd9ac7c53d7ce74375882bf458c9651.png"/><Relationship Id="rId20" Type="http://schemas.openxmlformats.org/officeDocument/2006/relationships/image" Target="media/537c49918502eeeb106b3ea06de75ca9e96b53d6.png"/><Relationship Id="rId21" Type="http://schemas.openxmlformats.org/officeDocument/2006/relationships/image" Target="media/734e6ad1af7bf5eec76391004b212e772b62fdc0.png"/><Relationship Id="rId22" Type="http://schemas.openxmlformats.org/officeDocument/2006/relationships/image" Target="media/5558b2a20d152b10b7080634f0e60fc3a1b741c2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2026-04-20T06:29:58.495Z</dcterms:created>
  <dcterms:modified xsi:type="dcterms:W3CDTF">2026-04-20T06:29:58.496Z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