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ind w:left="363" w:right="0" w:hanging="0"/>
        <w:jc w:val="both"/>
        <w:rPr/>
      </w:pPr>
      <w:r>
        <w:rPr>
          <w:rFonts w:cs="Arial" w:ascii="Arial" w:hAnsi="Arial"/>
        </w:rPr>
        <w:t xml:space="preserve">O propósito do processo Gerência de Requisitos é </w:t>
      </w:r>
      <w:r>
        <w:rPr>
          <w:rFonts w:cs="Arial" w:ascii="Arial" w:hAnsi="Arial"/>
        </w:rPr>
        <w:t>otimizar o controle dos</w:t>
      </w:r>
      <w:r>
        <w:rPr>
          <w:rFonts w:cs="Arial" w:ascii="Arial" w:hAnsi="Arial"/>
        </w:rPr>
        <w:t xml:space="preserve"> requisitos do </w:t>
      </w:r>
      <w:r>
        <w:rPr>
          <w:rFonts w:cs="Arial" w:ascii="Arial" w:hAnsi="Arial"/>
        </w:rPr>
        <w:t>produto</w:t>
      </w:r>
      <w:r>
        <w:rPr>
          <w:rFonts w:cs="Arial" w:ascii="Arial" w:hAnsi="Arial"/>
        </w:rPr>
        <w:t xml:space="preserve"> e dos componentes do </w:t>
      </w:r>
      <w:r>
        <w:rPr>
          <w:rFonts w:cs="Arial" w:ascii="Arial" w:hAnsi="Arial"/>
        </w:rPr>
        <w:t>produto</w:t>
      </w:r>
      <w:r>
        <w:rPr>
          <w:rFonts w:cs="Arial" w:ascii="Arial" w:hAnsi="Arial"/>
        </w:rPr>
        <w:t xml:space="preserve">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/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Não mapeamos a formação dos nossos clientes.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bookmarkStart w:id="0" w:name="__DdeLink__485_783247793"/>
      <w:bookmarkStart w:id="1" w:name="__DdeLink__485_783247793"/>
      <w:bookmarkEnd w:id="1"/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Analista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ind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2" w:name="__DdeLink__485_783247793"/>
      <w:bookmarkStart w:id="3" w:name="__DdeLink__485_783247793"/>
      <w:bookmarkEnd w:id="3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ind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Experiência com liderança de equipe, análise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desenvolvi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men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  <w:t> </w:t>
      </w:r>
      <w:r>
        <w:rPr>
          <w:rFonts w:cs="Arial" w:ascii="Arial" w:hAnsi="Arial"/>
        </w:rPr>
        <w:t>&lt;Definir os indicadores de desempenho do processo. Esses indicadores devem mostrar a eficiência e a eficácia do processo. &gt;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Indicador&gt;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o objetivo do indicador&gt;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ICB-Índice de Inconsistência dos Itens de Configuração da Baseline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Auditar Baseline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Auditor de Configuração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= QICI / QIC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ICB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bookmarkStart w:id="4" w:name="_GoBack"/>
      <w:bookmarkStart w:id="5" w:name="_GoBack"/>
      <w:bookmarkEnd w:id="5"/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&lt;Definir as comunicações relevantes para o processo&gt;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da Comunicação&gt;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&lt;Papel responsável pela emissão da comunicação&gt;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&lt;Papeis receptores da comunicação&gt;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&lt;Mensagem comunicada&gt;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&lt;Forma de comunicação&gt;</w:t>
            </w:r>
          </w:p>
        </w:tc>
      </w:tr>
      <w:tr>
        <w:trPr>
          <w:trHeight w:val="362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&lt;Quando a comunicação deve ocorrer&gt;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Estabelecimento do Sistema de Gestão de Configuração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Configuração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Todos os integrantes da equipe técnica do projeto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Disponibilidade e forma de acesso ao sistema de Gestão de Cofiguração.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“Planejar Gerência de Configuração”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&lt;Definir o fluxo do processo em um nível abstrato, usando notação BPMN e a ferramenta Bizagi. O fluxo deve especificar: 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Eventos de início e de fim do processo.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As atividades, alocadas aos papeis.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 xml:space="preserve">As dependências entre as atividades.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cs="Arial" w:ascii="Arial" w:hAnsi="Arial"/>
        </w:rPr>
        <w:t>As decisões relacionadas as atividade&gt;</w:t>
      </w:r>
    </w:p>
    <w:p>
      <w:pPr>
        <w:pStyle w:val="Normal"/>
        <w:ind w:left="720" w:hanging="0"/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Inserir um link para imagem do processo.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&lt;Definir cada atividade do fluxo do processo de acordo com o modelo a seguir:&gt;</w:t>
      </w:r>
    </w:p>
    <w:tbl>
      <w:tblPr>
        <w:tblStyle w:val="Tabelacomgrade"/>
        <w:tblW w:w="9781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Identificar o nome da atividade, que deve ser uma frase única, sem conjunções aditivas, iniciando com um </w:t>
            </w:r>
            <w:r>
              <w:rPr>
                <w:rFonts w:cs="Arial" w:ascii="Arial" w:hAnsi="Arial"/>
                <w:u w:val="single"/>
              </w:rPr>
              <w:t>verbo no infinitivo</w:t>
            </w:r>
            <w:r>
              <w:rPr>
                <w:rFonts w:cs="Arial" w:ascii="Arial" w:hAnsi="Arial"/>
              </w:rPr>
              <w:t>. Este nome da atividade deve refletir o objetivo esperado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&lt; Identifica o papel do colaborador que é responsável pela execução da atividade. Toda atividade deve ter um único responsável.&gt;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1.</w:t>
            </w:r>
            <w:r>
              <w:rPr>
                <w:rFonts w:cs="Arial" w:ascii="Arial" w:hAnsi="Arial"/>
              </w:rPr>
              <w:t> Identificar uma sequência numerada de tarefas que realizam o objetivo da atividade.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2.</w:t>
            </w:r>
            <w:r>
              <w:rPr>
                <w:rFonts w:cs="Arial" w:ascii="Arial" w:hAnsi="Arial"/>
              </w:rPr>
              <w:t> Descrever cada tarefa como uma ação, com verbo no infinitivo.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3.</w:t>
            </w:r>
            <w:r>
              <w:rPr>
                <w:rFonts w:cs="Arial" w:ascii="Arial" w:hAnsi="Arial"/>
              </w:rPr>
              <w:t> Toda tarefa é identificada por um número sequencial único na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LibreOffice/5.1.6.2.0$Linux_X86_64 LibreOffice_project/10$Build-2</Application>
  <Pages>5</Pages>
  <Words>1161</Words>
  <Characters>6573</Characters>
  <CharactersWithSpaces>7557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2017-04-04T20:29:52Z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