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Gerência de Requisitos – GRE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ListParagraph"/>
        <w:ind w:left="108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363" w:hanging="0"/>
        <w:jc w:val="both"/>
        <w:rPr/>
      </w:pPr>
      <w:r>
        <w:rPr>
          <w:rFonts w:cs="Arial" w:ascii="Arial" w:hAnsi="Arial"/>
        </w:rPr>
        <w:t xml:space="preserve">O propósito do processo Gerência de Requisitos é otimizar o controle dos requisitos do produto e dos componentes do produto e identificar inconsistências entre os requisitos, os planos do trabalho e os produtos do trabalho. 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sz w:val="32"/>
          <w:szCs w:val="32"/>
        </w:rPr>
      </w:pPr>
      <w:r>
        <w:rPr>
          <w:rFonts w:cs="Arial" w:ascii="Arial" w:hAnsi="Arial"/>
          <w:b w:val="false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Um requisito surge a partir da identificação de um problema por parte do cliente ou de uma necessidade da equipe ou do projeto. Após ser identificada sua viabilidade, o requisito segue um fluxo de atividades que objetivam realizar o controle para manter a rastreabilidade com outros requisitos envolvidos e com todos os artefatos relacionados.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O processo de Gerência de Requisitos envolve o cliente, analistas, gestores de requisitos e o líder da equipe técnica, de forma que a inclusão ou alteração dos requisitos precisam ser validadas e aprovadas.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Todos os requisitos devem estar claramente definidos e documentados seguindo os padrões estabelecidos no fluxo de atividades do processo, contendo um registro de aceite por parte do cliente.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A rastreabilidade dos requisitos deve estar bem definida para que a análise de impacto seja mais eficiente e evite retrabalho ou falhas na evolução dos requisitos.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Cliente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Fornecer as informações necessárias para a criação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Aprovar/Reprovar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requisitos utilizando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bookmarkStart w:id="1" w:name="__DdeLink__485_783247793"/>
      <w:bookmarkStart w:id="2" w:name="__DdeLink__485_783247793"/>
      <w:bookmarkEnd w:id="2"/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ab/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documentação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78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Experiência com liderança de equipe, análise e desenvolvimento de sistemas e áreas afins.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/>
        <w:t> </w:t>
      </w:r>
      <w:r>
        <w:rPr>
          <w:rFonts w:cs="Arial" w:ascii="Arial" w:hAnsi="Arial"/>
        </w:rPr>
        <w:t>&lt;Definir os indicadores de desempenho do processo. Esses indicadores devem mostrar a eficiência e a eficácia do processo. &gt;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Indicador&gt;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o objetivo do indicador&gt;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ICB-Índice de Inconsistência dos Itens de Configuração da Baseline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realizar a atividade Auditar Baseline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Auditor de Configuração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= QICI / QIC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ICB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&lt;Definir as comunicações relevantes para o processo&gt;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10069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da Comunicação&gt;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&lt;Papel responsável pela emissão da comunicação&gt;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&lt;Papeis receptores da comunicação&gt;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&lt;Mensagem comunicada&gt;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&lt;Forma de comunicação&gt;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&lt;Quando a comunicação deve ocorrer&gt;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10069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Estabelecimento do Sistema de Gestão de Configuração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Configuração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Todos os integrantes da equipe técnica do projeto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Disponibilidade e forma de acesso ao sistema de Gestão de Cofiguração.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“Planejar Gerência de Configuração”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7907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Elicitar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pode ter a colaboração do Cliente, Gerente de Requisitos ou do Líder Técnico, de acordo com a origem do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Compreender o domínio do problema a ser resolvido utilizando as técnicas de elicitação definidas no planejamento.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Registrar as partes interessadas envolvidas no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as restrições encontradas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 xml:space="preserve">. </w:t>
            </w:r>
            <w:r>
              <w:rPr>
                <w:rFonts w:cs="Arial" w:ascii="Arial" w:hAnsi="Arial"/>
              </w:rPr>
              <w:t>Capturar e registrar as informações no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solicitação de inclusão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Novo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</w:t>
            </w:r>
            <w:r>
              <w:rPr>
                <w:rFonts w:cs="Arial" w:ascii="Arial" w:hAnsi="Arial"/>
              </w:rPr>
              <w:t xml:space="preserve"> de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</w:rPr>
              <w:t xml:space="preserve">equisitos </w:t>
            </w:r>
            <w:r>
              <w:rPr>
                <w:rFonts w:cs="Arial" w:ascii="Arial" w:hAnsi="Arial"/>
              </w:rPr>
              <w:t>iniciado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</w:t>
            </w:r>
            <w:r>
              <w:rPr>
                <w:rFonts w:cs="Arial" w:ascii="Arial" w:hAnsi="Arial"/>
              </w:rPr>
              <w:t>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Especificar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tem a colaboração do Gerente de Requisitos e do 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Analisar os</w:t>
            </w:r>
            <w:r>
              <w:rPr>
                <w:rFonts w:cs="Arial" w:ascii="Arial" w:hAnsi="Arial"/>
              </w:rPr>
              <w:t xml:space="preserve"> requisitos </w:t>
            </w:r>
            <w:r>
              <w:rPr>
                <w:rFonts w:cs="Arial" w:ascii="Arial" w:hAnsi="Arial"/>
              </w:rPr>
              <w:t>e identificar possíveis falhas de interesses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Definir os requisitos para a solução do problema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Definir o escopo relacionado ao novo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Produzir os diagramas de Casos de Uso da UML para especificar os requisitos.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Atualizar 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elicitação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</w:t>
            </w:r>
            <w:r>
              <w:rPr>
                <w:rFonts w:cs="Arial" w:ascii="Arial" w:hAnsi="Arial"/>
              </w:rPr>
              <w:t xml:space="preserve"> de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</w:rPr>
              <w:t xml:space="preserve">equisitos </w:t>
            </w:r>
            <w:r>
              <w:rPr>
                <w:rFonts w:cs="Arial" w:ascii="Arial" w:hAnsi="Arial"/>
              </w:rPr>
              <w:t>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bookmarkStart w:id="3" w:name="__DdeLink__442_1861868223"/>
            <w:bookmarkEnd w:id="3"/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Verificar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 xml:space="preserve">O Líder Técnico deve verificar e comprometer-se com os novos requisitos. A partir da aprovação do Líder Técnico, </w:t>
            </w:r>
            <w:r>
              <w:rPr>
                <w:rFonts w:cs="Arial" w:ascii="Arial" w:hAnsi="Arial"/>
                <w:b w:val="false"/>
                <w:bCs w:val="false"/>
              </w:rPr>
              <w:t>é passado para a aprovação do</w:t>
            </w:r>
            <w:r>
              <w:rPr>
                <w:rFonts w:cs="Arial" w:ascii="Arial" w:hAnsi="Arial"/>
                <w:b w:val="false"/>
                <w:bCs w:val="false"/>
              </w:rPr>
              <w:t xml:space="preserve"> Cliente.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Receber o Documento de Levantamento de Requisitos para realizar a revisão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Preencher o Checklist para realizar a verificação de cada item do Documento de Levantamento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especificação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</w:t>
            </w:r>
            <w:r>
              <w:rPr>
                <w:rFonts w:cs="Arial" w:ascii="Arial" w:hAnsi="Arial"/>
              </w:rPr>
              <w:t xml:space="preserve"> de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</w:rPr>
              <w:t xml:space="preserve">equisitos </w:t>
            </w:r>
            <w:r>
              <w:rPr>
                <w:rFonts w:cs="Arial" w:ascii="Arial" w:hAnsi="Arial"/>
              </w:rPr>
              <w:t>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Verificacao do Documento de Levantamento de Requisitos preenchido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Realizar Correções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envia ao Analista de Requisitos as correções a serem realizadas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Receber a solicitação de correções de requisitos do Líder Técnico.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2. </w:t>
            </w:r>
            <w:r>
              <w:rPr>
                <w:rFonts w:cs="Arial" w:ascii="Arial" w:hAnsi="Arial"/>
              </w:rPr>
              <w:t>Reanalisar os requisitos e corrigir 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correção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Verificacao,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Correções finalizadas.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  <w:r>
              <w:rPr>
                <w:rFonts w:cs="Arial" w:ascii="Arial" w:hAnsi="Arial"/>
              </w:rPr>
              <w:t xml:space="preserve">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Office, ferramentas para modelagem UML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Técnico, Analista de Requisitos, Gerente de Requisitos e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Identificar a necessidade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a viabilidade da mudanças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 solicitação de mudança preenchendo o documento de Solicitação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Enviar a Solicitação de Mudança ao Gerente de Requisitos utilizando o Trello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5. O Gerente de Requisitos deverá: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5.1. Analisar a solicitação de mudança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5.2. Analisar o impacto da mudança no escopo, tempo e custo da implantação da mudanças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5.3. Renegociar com o cliente os novos itens da baseline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5.4.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identificação da necessidade de </w:t>
            </w:r>
            <w:r>
              <w:rPr>
                <w:rFonts w:cs="Arial" w:ascii="Arial" w:hAnsi="Arial"/>
              </w:rPr>
              <w:t>mudanças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Requisitos,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 inviável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  <w:r>
              <w:rPr>
                <w:rFonts w:cs="Arial" w:ascii="Arial" w:hAnsi="Arial"/>
              </w:rPr>
              <w:t xml:space="preserve">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Receber Mudança na Especificação de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 xml:space="preserve">O </w:t>
            </w:r>
            <w:r>
              <w:rPr>
                <w:rFonts w:cs="Arial" w:ascii="Arial" w:hAnsi="Arial"/>
                <w:b w:val="false"/>
                <w:bCs w:val="false"/>
              </w:rPr>
              <w:t>Gerente de Requisitos envia ao Líder Técnico as atualizações nos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Receber a Mudança no Documento de Levantamento de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2. </w:t>
            </w:r>
            <w:r>
              <w:rPr>
                <w:rFonts w:cs="Arial" w:ascii="Arial" w:hAnsi="Arial"/>
              </w:rPr>
              <w:t>Iniciar a atividade de Verificação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mudança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Trello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Validar Requisitos com 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Apresentar todos os requisitos ao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2. </w:t>
            </w:r>
            <w:r>
              <w:rPr>
                <w:rFonts w:cs="Arial" w:ascii="Arial" w:hAnsi="Arial"/>
              </w:rPr>
              <w:t>Validar os requisitos e coletar a assinatura de aceite do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finalização de inclusão ou modificação de requisitos no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com a assinatura de aprovação do Cliente ou nova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Gerente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Analisar todos os Requisitos que foram incluídos ou que sofreram alterações e foram validados pelo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e atualizar todos os artefatos que estão ligados com o requisito em questão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validação de requisitos pelo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Plano de Projeto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Symbol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Arial" w:hAnsi="Arial" w:cs="Symbol"/>
      <w:b w:val="false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Application>LibreOffice/5.1.6.2.0$Linux_X86_64 LibreOffice_project/10$Build-2</Application>
  <Pages>9</Pages>
  <Words>1467</Words>
  <Characters>8866</Characters>
  <CharactersWithSpaces>10036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2017-04-20T05:50:44Z</dcterms:modified>
  <cp:revision>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