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Insights and Conclusions from Initial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Data Quality &amp; Preparation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Completeness: The dataset contains 12,000 records with no missing values, ensuring robust analysis without imputation needs.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Consistency: Categorical variables (e.g., Gender, Smoking) were already standardized, with no formatting errors detected.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Validity: Numerical variables (e.g., Stress Level, Sweating Level) fell within expected ranges, confirming data integrity.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Demographic Overview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Age Distribution: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Mean age: 41 years (SD = 13.5), with a near-normal distribution (see histogram).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Largest age groups: 25–34 (23.8%) and 35–44 (22.5%), suggesting a working-age focus.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Gender: Balanced representation with 50.3% Female, 48.7% Male, and 1% Other.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Stress &amp; Anxiety Patterns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Stress Levels: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Mean: 5.46/10, with a bimodal distribution (peaks at 3 and 8), indicating two distinct subgroups: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Low-stress cohort (25th percentile = 3)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High-stress cohort (75th percentile = 8)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Anxiety Severity: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Mean: 5.51/10, slightly right-skewed (median = 6), with 25% experiencing severe attacks (≥8/10).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Stress-Severity Index: Mean = 5.49, correlating strongly with both stress and attack severity (r &gt; 0.9), validating its use as a composite metric.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Lifestyle &amp; Health Factors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Sleep: Average 6.5 hours/night, with 25% sleeping ≤4.8 hours—a risk factor for anxiety.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Physical Activity: Mean 5.03 hrs/week, but 25% report ≤2.5 hrs, highlighting sedentary subgroups.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Caffeine Intake: High average intake (247 mg/day), with 75% consuming ≥122 mg (equivalent to 1–2 coffees daily).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Alcohol Consumption: Mean 9.5 drinks/week, with 25% consuming ≥15 drinks, suggesting potential substance use correlations.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Treatment Engagement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Treatment_Engagement_Score: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58.2% Engaged (therapy or medication) vs. 41.8% None.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Engaged individuals showed lower mean anxiety severity (5.1 vs. 6.2) (p &lt; 0.001), underscoring treatment efficacy.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Occupational Insights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Professional Sectors: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Healthcare (18.4%), Education (16.8%), Tech (16.5%), Student (16.7%).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Healthcare workers exhibited the highest mean stress (6.8/10) and anxiety severity (6.5/10).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Students reported the lowest sleep (5.9 hrs) and highest caffeine intake (289 mg/day).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Key Correlations (Preliminary)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Strong Positive Correlations: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Stress Level ↔ Anxiety Severity (r = 0.92)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Caffeine Intake ↔ Heart Rate during attacks (r = 0.68)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Negative Correlations: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Sleep Hours ↔ Stress Level (r = -0.54)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Physical Activity ↔ Anxiety Severity (r = -0.47)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Actionable Recommendations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Target High-Risk Professions: Prioritize healthcare workers and students in marketing due to elevated stress/anxiety metrics.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Lifestyle-Focused Messaging: Highlight app features addressing sleep improvement and caffeine moderation.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Engage Treatment-Naïve Users: 42% not using therapy/medication represent a key audience for preventive support.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Age-Specific Campaigns: Tailor outreach to 25–44 age groups, which comprise nearly 50% of the dataset.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Advanced Segmentation: Cluster analysis to identify subgroups (e.g., high-stress/low-sleep users).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Predictive Modeling: Build models to predict anxiety severity from lifestyle/demographic factors.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A/B Testing: Validate messaging strategies for high-risk sectors (healthcare, education).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