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Anxiety Support App: Marketing Audience Identification - Ask Phase Report</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report outlines the "Ask" phase of a data analysis project focused on identifying and characterizing high-potential target audiences for the "Calm Button" mobile application. The core business objective is to pinpoint specific professional fields and demographic segments most susceptible to workplace anxiety and most likely to benefit from immediate, private anxiety management solutions. This report details the defined business task, problem statement, guiding questions framed using the SMART framework, key stakeholders and audience for the analysis, metrics for success, and key tasks undertaken in this "Ask" phase. The insights from this phase will guide subsequent data preparation, processing, and analysis to deliver actionable marketing recommendations.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Business Task</w:t>
      </w:r>
    </w:p>
    <w:p w:rsidR="00000000" w:rsidDel="00000000" w:rsidP="00000000" w:rsidRDefault="00000000" w:rsidRPr="00000000" w14:paraId="00000005">
      <w:pPr>
        <w:spacing w:after="240" w:before="240" w:lineRule="auto"/>
        <w:rPr/>
      </w:pPr>
      <w:r w:rsidDel="00000000" w:rsidR="00000000" w:rsidRPr="00000000">
        <w:rPr>
          <w:rtl w:val="0"/>
        </w:rPr>
        <w:t xml:space="preserve">Pinpoint professional fields and demographic segments most susceptible to workplace anxiety and most likely to benefit from immediate, private anxiety management solutions such as "Calm Button." This investigation will also explore current stress management strategies and unmet needs among these groups to inform targeted marketing approaches and product positioning.</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Inefficient marketing spend and potentially missed key early adopter groups are challenges for the successful launch and adoption of the "Calm Button" application. Anxiety in the workplace is a pervasive and costly issue, impacting employee well-being and organizational productivity. To optimize marketing effectiveness and user acquisition, we must move beyond broad demographic targeting and identify specific occupational and age segments where individuals are most likely to experience workplace anxiety and actively seek discreet, immediate support. Current broad-based marketing approaches risk diluting resources and failing to resonate with the nuanced needs of key target groups. A data-driven, targeted marketing strategy is crucial to maximize impact and ensure efficient resource allocation. We assume that a refined, targeted approach will significantly improve marketing ROI and accelerate user adoption within the most receptive professional segments.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4. Guiding Questions (SMART Framework)</w:t>
      </w:r>
    </w:p>
    <w:p w:rsidR="00000000" w:rsidDel="00000000" w:rsidP="00000000" w:rsidRDefault="00000000" w:rsidRPr="00000000" w14:paraId="00000009">
      <w:pPr>
        <w:spacing w:after="240" w:before="240" w:lineRule="auto"/>
        <w:rPr/>
      </w:pPr>
      <w:r w:rsidDel="00000000" w:rsidR="00000000" w:rsidRPr="00000000">
        <w:rPr>
          <w:rtl w:val="0"/>
        </w:rPr>
        <w:t xml:space="preserve">To address the business task and achieve our objectives, the following SMART questions will guide the data analysis process. These questions are categorized to address primary segmentation, behavioral patterns, and market opportunity:</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4.1. Primary Audience Segmentation:</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Question 1 (Occupation &amp; Severity - Workplace Focus):</w:t>
      </w:r>
      <w:r w:rsidDel="00000000" w:rsidR="00000000" w:rsidRPr="00000000">
        <w:rPr>
          <w:rtl w:val="0"/>
        </w:rPr>
        <w:t xml:space="preserve"> Which professional occupations, when analyzed in conjunction with typical workplace stressors (inferred from occupation type, e.g., deadlines for Teachers, high stakes for Doctors), exhibit the highest average anxiety attack severity scores within the dataset?</w:t>
      </w:r>
    </w:p>
    <w:p w:rsidR="00000000" w:rsidDel="00000000" w:rsidP="00000000" w:rsidRDefault="00000000" w:rsidRPr="00000000" w14:paraId="0000000C">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requires us to not just look at raw severity scores but to consider the </w:t>
      </w:r>
      <w:r w:rsidDel="00000000" w:rsidR="00000000" w:rsidRPr="00000000">
        <w:rPr>
          <w:i w:val="1"/>
          <w:rtl w:val="0"/>
        </w:rPr>
        <w:t xml:space="preserve">context</w:t>
      </w:r>
      <w:r w:rsidDel="00000000" w:rsidR="00000000" w:rsidRPr="00000000">
        <w:rPr>
          <w:rtl w:val="0"/>
        </w:rPr>
        <w:t xml:space="preserve"> of the occupation. We will need to think about how to infer "workplace stressors" from occupation categories in the dataset, potentially through external research or assumptions based on general knowledge of job demands.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Question 2 (Occupation &amp; Stress Level - Profession-Specific Stress):</w:t>
      </w:r>
      <w:r w:rsidDel="00000000" w:rsidR="00000000" w:rsidRPr="00000000">
        <w:rPr>
          <w:rtl w:val="0"/>
        </w:rPr>
        <w:t xml:space="preserve"> Within professional occupations, which roles report the highest average stress levels, as indicated by the 'Stress Level (1-10)' variable, suggesting a potential need for workplace anxiety solutions?</w:t>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narrows our focus from all occupations to professional roles, aligning with the workplace support angle of the "Calm Button" application.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Question 3 (Occupation &amp; Untreated Need):</w:t>
      </w:r>
      <w:r w:rsidDel="00000000" w:rsidR="00000000" w:rsidRPr="00000000">
        <w:rPr>
          <w:rtl w:val="0"/>
        </w:rPr>
        <w:t xml:space="preserve"> Which professional occupations show a combination of high anxiety severity/stress </w:t>
      </w:r>
      <w:r w:rsidDel="00000000" w:rsidR="00000000" w:rsidRPr="00000000">
        <w:rPr>
          <w:i w:val="1"/>
          <w:rtl w:val="0"/>
        </w:rPr>
        <w:t xml:space="preserve">and</w:t>
      </w:r>
      <w:r w:rsidDel="00000000" w:rsidR="00000000" w:rsidRPr="00000000">
        <w:rPr>
          <w:rtl w:val="0"/>
        </w:rPr>
        <w:t xml:space="preserve"> low engagement with therapy (indicated by 'Therapy Sessions (per month)' = 0 or very low), indicating a potential unmet need for accessible, alternative solutions like "Calm Button"?</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will help identify market segments where "Calm Button" can be positioned as a valuable </w:t>
      </w:r>
      <w:r w:rsidDel="00000000" w:rsidR="00000000" w:rsidRPr="00000000">
        <w:rPr>
          <w:i w:val="1"/>
          <w:rtl w:val="0"/>
        </w:rPr>
        <w:t xml:space="preserve">first-line</w:t>
      </w:r>
      <w:r w:rsidDel="00000000" w:rsidR="00000000" w:rsidRPr="00000000">
        <w:rPr>
          <w:rtl w:val="0"/>
        </w:rPr>
        <w:t xml:space="preserve"> support for anxiety management, rather than solely as a supplement to existing therapy.</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Question 4 (Age &amp; Occupation Sub-Segments - Demographic Nuance):</w:t>
      </w:r>
      <w:r w:rsidDel="00000000" w:rsidR="00000000" w:rsidRPr="00000000">
        <w:rPr>
          <w:rtl w:val="0"/>
        </w:rPr>
        <w:t xml:space="preserve"> Within the top 2-3 most promising professional occupations identified in Q1-Q3, are there specific age demographics (e.g., early career professionals vs. experienced managers) that exhibit distinct anxiety profiles (severity, stress, therapy usage)? This will help to tailor marketing messages for different sub-segments.</w:t>
      </w:r>
    </w:p>
    <w:p w:rsidR="00000000" w:rsidDel="00000000" w:rsidP="00000000" w:rsidRDefault="00000000" w:rsidRPr="00000000" w14:paraId="00000015">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introduces age as a segmentation variable to allow for more nuanced and targeted marketing recommendations, recognizing that anxiety experiences and tech adoption might vary within professions across different career stages.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4.2. Behavioral Pattern Analysis: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Question 5 (Lifestyle Patterns &amp; Workplace Anxiety):</w:t>
      </w:r>
      <w:r w:rsidDel="00000000" w:rsidR="00000000" w:rsidRPr="00000000">
        <w:rPr>
          <w:rtl w:val="0"/>
        </w:rPr>
        <w:t xml:space="preserve"> For individuals within the prioritized professional and age segments who report high anxiety severity, what common lifestyle patterns (Sleep Hours, Physical Activity, Caffeine Intake, Alcohol Consumption, Smoking, Diet Quality) correlate with their anxiety attack characteristics? How might these patterns relate to typical workplace demands or constraints faced by these professionals?</w:t>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encourages analysis beyond basic demographics, pushing us to connect lifestyle factors with the </w:t>
      </w:r>
      <w:r w:rsidDel="00000000" w:rsidR="00000000" w:rsidRPr="00000000">
        <w:rPr>
          <w:i w:val="1"/>
          <w:rtl w:val="0"/>
        </w:rPr>
        <w:t xml:space="preserve">work environment</w:t>
      </w:r>
      <w:r w:rsidDel="00000000" w:rsidR="00000000" w:rsidRPr="00000000">
        <w:rPr>
          <w:rtl w:val="0"/>
        </w:rPr>
        <w:t xml:space="preserve"> of the target professionals. We aim to understand if specific workplace conditions might exacerbate certain lifestyle patterns that contribute to anxiety.</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Question 6 (Therapy &amp; Medication Usage):</w:t>
      </w:r>
      <w:r w:rsidDel="00000000" w:rsidR="00000000" w:rsidRPr="00000000">
        <w:rPr>
          <w:rtl w:val="0"/>
        </w:rPr>
        <w:t xml:space="preserve"> What proportion of high-severity sufferers within the target segments are </w:t>
      </w:r>
      <w:r w:rsidDel="00000000" w:rsidR="00000000" w:rsidRPr="00000000">
        <w:rPr>
          <w:i w:val="1"/>
          <w:rtl w:val="0"/>
        </w:rPr>
        <w:t xml:space="preserve">not</w:t>
      </w:r>
      <w:r w:rsidDel="00000000" w:rsidR="00000000" w:rsidRPr="00000000">
        <w:rPr>
          <w:rtl w:val="0"/>
        </w:rPr>
        <w:t xml:space="preserve"> currently in therapy, and what is their current medication usage ('Medication' variable)? This will help understand the current landscape of anxiety management within these groups.</w:t>
      </w:r>
    </w:p>
    <w:p w:rsidR="00000000" w:rsidDel="00000000" w:rsidP="00000000" w:rsidRDefault="00000000" w:rsidRPr="00000000" w14:paraId="0000001D">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seeks to quantify the "treatment gap" and understand the current reliance on medication within the target segments, informing positioning of "Calm Button" as a complementary or alternative solution.</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Question 7 (Messaging &amp; Value Proposition):</w:t>
      </w:r>
      <w:r w:rsidDel="00000000" w:rsidR="00000000" w:rsidRPr="00000000">
        <w:rPr>
          <w:rtl w:val="0"/>
        </w:rPr>
        <w:t xml:space="preserve"> Based on the identified needs, behaviors, and pain points of the target professional and age segments, how should the "Calm Button" app be positioned in marketing messaging to best resonate with their specific workplace anxiety challenges and highlight its value proposition (discretion, instant access, haptic feedback, privacy)?</w:t>
      </w:r>
    </w:p>
    <w:p w:rsidR="00000000" w:rsidDel="00000000" w:rsidP="00000000" w:rsidRDefault="00000000" w:rsidRPr="00000000" w14:paraId="00000020">
      <w:pPr>
        <w:numPr>
          <w:ilvl w:val="2"/>
          <w:numId w:val="4"/>
        </w:numPr>
        <w:spacing w:after="0" w:afterAutospacing="0" w:before="0" w:beforeAutospacing="0" w:lineRule="auto"/>
        <w:ind w:left="2160" w:hanging="360"/>
      </w:pPr>
      <w:r w:rsidDel="00000000" w:rsidR="00000000" w:rsidRPr="00000000">
        <w:rPr>
          <w:i w:val="1"/>
          <w:rtl w:val="0"/>
        </w:rPr>
        <w:t xml:space="preserve">Data Analyst Note:</w:t>
      </w:r>
      <w:r w:rsidDel="00000000" w:rsidR="00000000" w:rsidRPr="00000000">
        <w:rPr>
          <w:rtl w:val="0"/>
        </w:rPr>
        <w:t xml:space="preserve"> This question is forward-looking and action-oriented. It ensures the analysis directly translates into concrete marketing strategies and messaging that effectively communicates the app's value to the identified target audiences.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5. Stakeholders and Audience</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Key Stakeholders: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Marketing Team:</w:t>
      </w:r>
      <w:r w:rsidDel="00000000" w:rsidR="00000000" w:rsidRPr="00000000">
        <w:rPr>
          <w:rtl w:val="0"/>
        </w:rPr>
        <w:t xml:space="preserve"> (Primary Client) Responsible for the successful launch and marketing of the "Calm Button" application, particularly within professional and workplace contexts. They require actionable insights to optimize marketing campaigns and budget allocation.</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Product Team:</w:t>
      </w:r>
      <w:r w:rsidDel="00000000" w:rsidR="00000000" w:rsidRPr="00000000">
        <w:rPr>
          <w:rtl w:val="0"/>
        </w:rPr>
        <w:t xml:space="preserve"> (Secondary Stakeholder) Interested in understanding user needs and pain points related to anxiety management to potentially inform future feature development and app enhancements, especially features relevant to workplace usage.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Sales Team (Potential Stakeholder):</w:t>
      </w:r>
      <w:r w:rsidDel="00000000" w:rsidR="00000000" w:rsidRPr="00000000">
        <w:rPr>
          <w:rtl w:val="0"/>
        </w:rPr>
        <w:t xml:space="preserve"> (Contingent on B2B Strategy) May become a key stakeholder if the "Calm Button" app is positioned as a B2B solution for employee wellness programs, requiring data to target HR/Wellness managers and demonstrate ROI to companies.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HR departments/Wellness Program Managers (Potential External Stakeholders):</w:t>
      </w:r>
      <w:r w:rsidDel="00000000" w:rsidR="00000000" w:rsidRPr="00000000">
        <w:rPr>
          <w:rtl w:val="0"/>
        </w:rPr>
        <w:t xml:space="preserve"> (Contingent on B2B Strategy) Represent potential B2B clients. Their needs revolve around effective and discreet employee wellness solutions that can integrate into existing programs.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Primary Audience for Report:</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Marketing Team members specifically responsible for developing and executing </w:t>
      </w:r>
      <w:r w:rsidDel="00000000" w:rsidR="00000000" w:rsidRPr="00000000">
        <w:rPr>
          <w:i w:val="1"/>
          <w:rtl w:val="0"/>
        </w:rPr>
        <w:t xml:space="preserve">workplace-focused</w:t>
      </w:r>
      <w:r w:rsidDel="00000000" w:rsidR="00000000" w:rsidRPr="00000000">
        <w:rPr>
          <w:rtl w:val="0"/>
        </w:rPr>
        <w:t xml:space="preserve"> launch campaigns for the "Calm Button" application. The report will be tailored to their need for actionable insights and data-backed recommendations to drive user acquisition and marketing efficiency.</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6. Metrics for Success</w:t>
      </w:r>
    </w:p>
    <w:p w:rsidR="00000000" w:rsidDel="00000000" w:rsidP="00000000" w:rsidRDefault="00000000" w:rsidRPr="00000000" w14:paraId="0000002E">
      <w:pPr>
        <w:spacing w:after="240" w:before="240" w:lineRule="auto"/>
        <w:rPr/>
      </w:pPr>
      <w:r w:rsidDel="00000000" w:rsidR="00000000" w:rsidRPr="00000000">
        <w:rPr>
          <w:rtl w:val="0"/>
        </w:rPr>
        <w:t xml:space="preserve">The success of this analysis will be evaluated based on its ability to deliver:</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Actionable &amp; Profession-Specific Segments:</w:t>
      </w:r>
      <w:r w:rsidDel="00000000" w:rsidR="00000000" w:rsidRPr="00000000">
        <w:rPr>
          <w:rtl w:val="0"/>
        </w:rPr>
        <w:t xml:space="preserve"> Identification of 3-5 clearly defined and distinct target audience segments. Segments should be defined by profession and age demographics and demonstrate relevance to workplace anxiety. Actionability is defined by segments being large enough to be meaningfully targeted and having clearly identifiable characteristics for marketing purposes.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Segment Sizing &amp; Prioritization:</w:t>
      </w:r>
      <w:r w:rsidDel="00000000" w:rsidR="00000000" w:rsidRPr="00000000">
        <w:rPr>
          <w:rtl w:val="0"/>
        </w:rPr>
        <w:t xml:space="preserve"> Quantifiable estimates of the size of each identified target segment within the dataset (and potentially extrapolated to the broader professional population where possible). Segments should be prioritized for marketing focus based on a severity-weighted approach, considering both segment size and indicators of workplace anxiety impact (severity, stress, therapy gap).</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Differentiators &amp; Workplace Context:</w:t>
      </w:r>
      <w:r w:rsidDel="00000000" w:rsidR="00000000" w:rsidRPr="00000000">
        <w:rPr>
          <w:rtl w:val="0"/>
        </w:rPr>
        <w:t xml:space="preserve"> Clear and statistically supported characteristics that differentiate each target professional/age segment from the broader user base and general population. Analysis should highlight factors relevant to the workplace context, such as typical stressors, access to support, and current coping mechanisms.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Data-Driven Channel Strategy Support:</w:t>
      </w:r>
      <w:r w:rsidDel="00000000" w:rsidR="00000000" w:rsidRPr="00000000">
        <w:rPr>
          <w:rtl w:val="0"/>
        </w:rPr>
        <w:t xml:space="preserve"> Actionable insights into lifestyle and behavioral patterns </w:t>
      </w:r>
      <w:r w:rsidDel="00000000" w:rsidR="00000000" w:rsidRPr="00000000">
        <w:rPr>
          <w:i w:val="1"/>
          <w:rtl w:val="0"/>
        </w:rPr>
        <w:t xml:space="preserve">within professional contexts</w:t>
      </w:r>
      <w:r w:rsidDel="00000000" w:rsidR="00000000" w:rsidRPr="00000000">
        <w:rPr>
          <w:rtl w:val="0"/>
        </w:rPr>
        <w:t xml:space="preserve"> that inform targeted marketing channel selection. This includes identifying potential digital behavior indicators relevant to reaching professional groups (e.g., social media platforms used, industry-specific online forums, professional publications).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Targeted Messaging &amp; Value Proposition Alignment:</w:t>
      </w:r>
      <w:r w:rsidDel="00000000" w:rsidR="00000000" w:rsidRPr="00000000">
        <w:rPr>
          <w:rtl w:val="0"/>
        </w:rPr>
        <w:t xml:space="preserve"> Development of specific marketing recommendations and messaging themes tailored to resonate with the unique workplace anxiety experiences of each identified target segment. Messaging should effectively highlight the "Calm Button" app's core value proposition: discretion, instant access, haptic feedback, and privacy, and position it appropriately (e.g., as a complementary support tool, a first-line intervention, or a discreet workplace aid).</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7. Key Tasks Completed in the "Ask" Phase</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Clearly defined the business task: Pinpointing professional fields and demographic segments susceptible to workplace anxiety for targeted marketing of "Calm Button."</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Confirmed key stakeholders: Marketing team (primary), Product Team (secondary), potentially Sales and HR/Wellness teams. Information needs for the Marketing team, focused on actionable segmentation and channel strategy, have been prioritized.</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Selected the anxiety_attack_dataset.csv dataset as the primary data source. Acknowledged limitations of the dataset (self-reported, no direct workplace context variables) and will address these limitations in the analysis and final report.</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Established key metrics for analysis: Attack Severity, Stress Level, Therapy Sessions, Occupation, Age, Lifestyle Factors, Medication Usage. These metrics are chosen for their relevance to segmenting users based on anxiety experience and informing marketing strategies.</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Initial Brainstorming of Occupations and Age Groups: Conducted brainstorming to identify 5 high-stress professional occupations and relevant age ranges (Mental Health Social Workers, Nurse Practitioners &amp; Psychiatrists, Data Scientists &amp; IT Specialists, Customer Service Representatives, Public Health Administrators/Managers, age ranges 20-55). This brainstorm will guide initial data exploration.</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