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Marketing Audience Identification - Project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1. PREPARE Phase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Data Collection &amp; Organization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Review anxiety_attack_dataset.csv (12,000 records)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Create backup of raw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Document data dictionary and metadata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Set up project directory structure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Initialize version control repository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Initial Data Assessment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Verify data completeness for all 20 columns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Check for missing values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Assess data types and formats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Document potential biases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Identify any privacy concerns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Note data limitations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 Tools Selection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Primary: R for statistical analysis and visualization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Secondary: Tableau for final visualizations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Documentation: R Markdown for reproducible analysis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 2. PROCESS Phase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 Data Cleaning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Handle missing 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Standardize occupation categories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Clean text fields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Remove duplicates if any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Format dates consistently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Document all cleaning steps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### Data Transformation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Create derived variables: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* Stress-severity index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* Treatment engagement score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* Workplace impact indicator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Bin age groups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Categorize occupations into professional sectors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Create flags for high-risk indicators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#### Feature Engineering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Create derived variables for analysis: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* Physiological Response Index (combining HR, breathing rate, sweating)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* Lifestyle Factor Score (combining sleep, physical activity, diet)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* Treatment Status (combining medication and therapy)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### Quality Assurance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Verify cleaned dataset integrity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Cross-validate derived variables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Document all transformations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Create data quality report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## 3. ANALYZE Phase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### Exploratory Analysis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Basic statistical summaries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Distribution analysis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Correlation analysis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Initial segmentation exploration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### Segment Analysis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Primary Audience Segmentation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Occupation &amp; severity analysis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Age &amp; occupation cross-analysis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Treatment engagement patterns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Stress level analysis by profession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Behavioral Pattern Analysis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Lifestyle factors correlation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Treatment preferences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Professional context impact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Demographic patterns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Market Opportunity Analysis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Segment size calculations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Prioritization scoring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Treatment gap analysis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- Professional context assessment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### Statistical Analysis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Cluster analysis for segmentation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Chi-square tests for associations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ANOVA for group comparisons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Regression analysis for predictors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## 4. SHARE Phase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### Data Visualization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1. Segment Profiles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- Demographic composition charts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- Attack pattern visualizations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- Treatment preference graphs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 Key pain point matrices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2. Market Opportunity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- Segment size treemap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- Opportunity matrix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- Channel preference analysis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- Journey point mapping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### Deliverables Creation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1. Technical Documentation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 Methodology report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- Statistical analysis results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 Data processing documentation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Code repository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2. Business Deliverables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- Executive summary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- Segment profiles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- Marketing recommendations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- Channel strategy guide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3. Presentation Materials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- Executive presentation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- Detailed findings deck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- Interactive dashboard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- Handover documentation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