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i9ljywo6p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5. Recommendations and Next 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the June 1 Non-Nursing Spike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whether this is a </w:t>
      </w:r>
      <w:r w:rsidDel="00000000" w:rsidR="00000000" w:rsidRPr="00000000">
        <w:rPr>
          <w:b w:val="1"/>
          <w:rtl w:val="0"/>
        </w:rPr>
        <w:t xml:space="preserve">reporting anomaly</w:t>
      </w:r>
      <w:r w:rsidDel="00000000" w:rsidR="00000000" w:rsidRPr="00000000">
        <w:rPr>
          <w:rtl w:val="0"/>
        </w:rPr>
        <w:t xml:space="preserve">, a policy change, or a real operational event.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prior months’ data or contract vendor changes for clarity.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Examine Facility Subsets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facilities by high vs. low contract usage to see if patterns correlate with </w:t>
      </w:r>
      <w:r w:rsidDel="00000000" w:rsidR="00000000" w:rsidRPr="00000000">
        <w:rPr>
          <w:b w:val="1"/>
          <w:rtl w:val="0"/>
        </w:rPr>
        <w:t xml:space="preserve">ownership 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geography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quality metrics</w:t>
      </w:r>
      <w:r w:rsidDel="00000000" w:rsidR="00000000" w:rsidRPr="00000000">
        <w:rPr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nh_survey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nh_quality_mds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Shift-Level Analysis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data is available, break down contract usage by shift (day/evening/night) to see more granular patterns.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may reveal peak times for contract usage, which can inform more targeted scheduling solutions.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and Cost Impact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Correlate these ratios with deficiency citations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nh_citations</w:t>
      </w:r>
      <w:r w:rsidDel="00000000" w:rsidR="00000000" w:rsidRPr="00000000">
        <w:rPr>
          <w:rtl w:val="0"/>
        </w:rPr>
        <w:t xml:space="preserve">) or external cost data (if it becomes available) to evaluate potential financial or quality implications of higher contract usage.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Longer-Term Monitoring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these metrics over additional quarters to see if patterns persist or respond to policy changes (e.g., new minimum staffing regulations).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