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9tyofgue0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Loading and Preparation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 pandas to load our core CMS datasets (pbj_nurse, pbj_non_nurse, qrp_provider, nh_survey, nh_quality_mds, nh_ownership, nh_citations).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Validate data quality (checking shapes, missing values, duplicates, and proper date formatting with pd.to_datetime).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Standardize column names and merge key fields (e.g., provnum/CCN) for cross-dataset analysis.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gtqcq37f2ov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Aggregated Analysis &amp; Time Series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Compute daily aggregated staffing ratios (for nursing, non-nursing, CNA, and RN) using pandas groupby.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 resample and rolling window functions to generate time series plots (matplotlib/seaborn) that reveal daily and day-of-week patterns (e.g., weekend upticks in nursing contracts).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fdr7ay8bv2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Deep-Dive into Specific Queries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fkqqilyd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A. Facility Segmentation &amp; Outlier Characteristics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Group by facility (provnum) to calculate contract ratios and identify the top 1% outliers.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Characterize these facilities by resident census, ownership, and location (using nh_ownership and qrp_provider data).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Compute total contract hours aggregated at the facility level.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an8lpl5t1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B. Exclusive Contract Facilities &amp; Exclusive RN Days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Filter records to isolate facilities/days with near-100% contract usage.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Conduct time series analysis on these subsets to uncover scheduling anomalies or operational drivers.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r8kgrjlq5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C. Employee vs. Contract Tails Relationship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Plot distributions (histograms, scatter plots) of employee and contract hours.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Compute correlations (using pandas corr()) to assess if extreme employee hours counterbalance contract usage.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vbh85lpaf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D. Organizational Models &amp; Contractor Economics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Infer cost pressures by using proxy measures from staffing patterns (frequency of high contract usage and outlier aggregates).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Develop a conceptual framework outlining potential cost-savings and operational benefits of Clipboard Health’s on-demand staffing solution.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8l2g61r9t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E. High Staffing Facilities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facilities with both high employee and contract hours by merging with resident census data.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 descriptive statistics (describe()) and visualizations to compare these facilities with lower-staffed counterparts.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6d9jcrgth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F. State Variations &amp; Legislative Implications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Group by state to calculate and visualize state-level staffing ratios.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Annotate these visuals with external state regulatory information and labor market indicators.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9dvx5b7yb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G. Further Analysis on Usage Patterns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Implement clustering (e.g., KMeans from scikit-learn) on features like total staffing hours, contract ratios, and census to identify distinct facility segments.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Explore advanced time series methods to detect subtle usage patterns within clusters.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fnroqjqna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H. CNA Oscillation Patterns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Reassess CNA contract ratios versus resident census using scatter plots and correlation analysis, with a focus on weekday versus weekend differences.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clszgq4i5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I. Nursing vs. Non-Nursing Weekly Dynamics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Create pivot tables (using pandas pivot_table) and visualize day-of-week trends to understand anomalies (e.g., Monday peaks in non-nursing contracts versus weekend rises in nursing contracts).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Explore potential reasons by linking to operational policies if available.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yxeovc49uc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J. Intra-Quarter Inconsistencies &amp; Customer Segmentation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Calculate variability measures (standard deviation, rolling windows) of temporary staffing ratios over the quarter.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Map these patterns to known organizational models and segment potential customers for targeted on-demand staffing solutions.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bmm9iwyof8j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Integration of Domain Knowledge &amp; Additional Datasets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In addition to the CMS datasets, we should consider integrating external datasets to enrich our analysis: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External Cost Data: If available, Medicare cost reports or financial datasets that capture overtime expenses, agency fees, and penalty amounts would enable direct cost correlation analyses.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Labor Market &amp; Economic Data: Datasets from sources like the Bureau of Labor Statistics (BLS) can offer insights into regional labor market conditions that might influence staffing patterns.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Regulatory Data: State-level regulatory or legislative datasets can help explain variations in staffing ratios due to differing minimum staffing standards or labor laws.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additional data sources can be imported into Python (using pandas or APIs) and merged with our CMS datasets using common identifiers (e.g., state, county, facility) for a richer, multi-dimensional analysis.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u32vvsvye52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Reporting and Recommendations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Consolidate all outputs (aggregated metrics, visualizations, clustering results) into a Jupyter Notebook.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Document insights and actionable recommendations in markdown cells to build a compelling business case for Clipboard Health’s on-demand staffing solution.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executing this plan entirely in Python, we ensure reproducibility and flexibility. Integrating additional cost, economic, and regulatory datasets will provide a more holistic view of the factors driving temporary staffing patterns in nursing homes, ultimately strengthening our analysis and recommendations.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