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Okay, let's dive into the results from the small_facilities_analysis.log as a data analyst. Here's a breakdown of the findings and some initial insights we can draw, focusing specifically on nursing homes with 120 or fewer residents: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RN Staffing Ratio in Small Facilities (Question 1):</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Average RN Contract Ratio:</w:t>
      </w:r>
      <w:r w:rsidDel="00000000" w:rsidR="00000000" w:rsidRPr="00000000">
        <w:rPr>
          <w:rtl w:val="0"/>
        </w:rPr>
        <w:t xml:space="preserve"> 0.0607 (or 6.07%)</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Summary Statistics:</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tl w:val="0"/>
        </w:rPr>
        <w:t xml:space="preserve">Mean: 0.0607</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Median (50%): 0.0589</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Standard Deviation: 0.0069</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Range (Min-Max): 0.0529 - 0.0735</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Insight:</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Lower Average RN Contract Ratio than Overall:</w:t>
      </w:r>
      <w:r w:rsidDel="00000000" w:rsidR="00000000" w:rsidRPr="00000000">
        <w:rPr>
          <w:rtl w:val="0"/>
        </w:rPr>
        <w:t xml:space="preserve"> Comparing this to the previously reported overall average RN contract ratio of 7-9% for </w:t>
      </w:r>
      <w:r w:rsidDel="00000000" w:rsidR="00000000" w:rsidRPr="00000000">
        <w:rPr>
          <w:i w:val="1"/>
          <w:rtl w:val="0"/>
        </w:rPr>
        <w:t xml:space="preserve">all</w:t>
      </w:r>
      <w:r w:rsidDel="00000000" w:rsidR="00000000" w:rsidRPr="00000000">
        <w:rPr>
          <w:rtl w:val="0"/>
        </w:rPr>
        <w:t xml:space="preserve"> facilities, small facilities exhibit a </w:t>
      </w:r>
      <w:r w:rsidDel="00000000" w:rsidR="00000000" w:rsidRPr="00000000">
        <w:rPr>
          <w:b w:val="1"/>
          <w:rtl w:val="0"/>
        </w:rPr>
        <w:t xml:space="preserve">lower average reliance on contract RNs</w:t>
      </w:r>
      <w:r w:rsidDel="00000000" w:rsidR="00000000" w:rsidRPr="00000000">
        <w:rPr>
          <w:rtl w:val="0"/>
        </w:rPr>
        <w:t xml:space="preserve">. This is around 6%, which is at the lower end of the overall range.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Relatively Tight Distribution:</w:t>
      </w:r>
      <w:r w:rsidDel="00000000" w:rsidR="00000000" w:rsidRPr="00000000">
        <w:rPr>
          <w:rtl w:val="0"/>
        </w:rPr>
        <w:t xml:space="preserve"> The standard deviation is quite small (0.0069), and the range is narrow (0.0529 to 0.0735). This suggests that </w:t>
      </w:r>
      <w:r w:rsidDel="00000000" w:rsidR="00000000" w:rsidRPr="00000000">
        <w:rPr>
          <w:b w:val="1"/>
          <w:rtl w:val="0"/>
        </w:rPr>
        <w:t xml:space="preserve">RN contract ratios are relatively consistent across </w:t>
      </w:r>
      <w:r w:rsidDel="00000000" w:rsidR="00000000" w:rsidRPr="00000000">
        <w:rPr>
          <w:b w:val="1"/>
          <w:i w:val="1"/>
          <w:rtl w:val="0"/>
        </w:rPr>
        <w:t xml:space="preserve">days</w:t>
      </w:r>
      <w:r w:rsidDel="00000000" w:rsidR="00000000" w:rsidRPr="00000000">
        <w:rPr>
          <w:b w:val="1"/>
          <w:rtl w:val="0"/>
        </w:rPr>
        <w:t xml:space="preserve"> for small facilities</w:t>
      </w:r>
      <w:r w:rsidDel="00000000" w:rsidR="00000000" w:rsidRPr="00000000">
        <w:rPr>
          <w:rtl w:val="0"/>
        </w:rPr>
        <w:t xml:space="preserve">, with less day-to-day fluctuation compared to the general trend (where we saw more variability). The mean and median being very close also indicates a fairly symmetrical distribution around the average.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Small facilities, on average, tend to rely more on permanent RN staff compared to larger facilities. They might have more stable staffing models or face different constraints that limit their use of contract RNs.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2. CNA Intra-Quarter Variation in Small Facilities (Question 2):</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Correlation between Daily CNA Contract Ratio and Average Census:</w:t>
      </w:r>
      <w:r w:rsidDel="00000000" w:rsidR="00000000" w:rsidRPr="00000000">
        <w:rPr>
          <w:rtl w:val="0"/>
        </w:rPr>
        <w:t xml:space="preserve"> -0.4014</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Summary Statistics (Average Daily CNA Contract Ratio):</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Mean: 0.0626 (6.26%)</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Median (50%): 0.0613</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Standard Deviation: 0.0080</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Range (Min-Max): 0.0473 - 0.0785</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Insight:</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Negative Census Correlation Confirmed in Small Facilities:</w:t>
      </w:r>
      <w:r w:rsidDel="00000000" w:rsidR="00000000" w:rsidRPr="00000000">
        <w:rPr>
          <w:rtl w:val="0"/>
        </w:rPr>
        <w:t xml:space="preserve"> The negative correlation of approximately -0.40 is </w:t>
      </w:r>
      <w:r w:rsidDel="00000000" w:rsidR="00000000" w:rsidRPr="00000000">
        <w:rPr>
          <w:b w:val="1"/>
          <w:rtl w:val="0"/>
        </w:rPr>
        <w:t xml:space="preserve">maintained and is of similar magnitude</w:t>
      </w:r>
      <w:r w:rsidDel="00000000" w:rsidR="00000000" w:rsidRPr="00000000">
        <w:rPr>
          <w:rtl w:val="0"/>
        </w:rPr>
        <w:t xml:space="preserve"> to what was observed in the overall analysis. This reinforces the finding that even in smaller facilities, as the resident census </w:t>
      </w:r>
      <w:r w:rsidDel="00000000" w:rsidR="00000000" w:rsidRPr="00000000">
        <w:rPr>
          <w:i w:val="1"/>
          <w:rtl w:val="0"/>
        </w:rPr>
        <w:t xml:space="preserve">increases</w:t>
      </w:r>
      <w:r w:rsidDel="00000000" w:rsidR="00000000" w:rsidRPr="00000000">
        <w:rPr>
          <w:rtl w:val="0"/>
        </w:rPr>
        <w:t xml:space="preserve">, the </w:t>
      </w:r>
      <w:r w:rsidDel="00000000" w:rsidR="00000000" w:rsidRPr="00000000">
        <w:rPr>
          <w:i w:val="1"/>
          <w:rtl w:val="0"/>
        </w:rPr>
        <w:t xml:space="preserve">proportion</w:t>
      </w:r>
      <w:r w:rsidDel="00000000" w:rsidR="00000000" w:rsidRPr="00000000">
        <w:rPr>
          <w:rtl w:val="0"/>
        </w:rPr>
        <w:t xml:space="preserve"> of contract CNA hours tends to </w:t>
      </w:r>
      <w:r w:rsidDel="00000000" w:rsidR="00000000" w:rsidRPr="00000000">
        <w:rPr>
          <w:i w:val="1"/>
          <w:rtl w:val="0"/>
        </w:rPr>
        <w:t xml:space="preserve">decrease</w:t>
      </w:r>
      <w:r w:rsidDel="00000000" w:rsidR="00000000" w:rsidRPr="00000000">
        <w:rPr>
          <w:rtl w:val="0"/>
        </w:rPr>
        <w:t xml:space="preserve">. Facilities are likely prioritizing permanent CNAs when they are busier.</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Slightly Higher Average CNA Ratio than RN Ratio:</w:t>
      </w:r>
      <w:r w:rsidDel="00000000" w:rsidR="00000000" w:rsidRPr="00000000">
        <w:rPr>
          <w:rtl w:val="0"/>
        </w:rPr>
        <w:t xml:space="preserve"> The average CNA contract ratio (6.26%) is slightly higher than the RN ratio (6.07%) in small facilities, though the difference is small. This might suggest a slightly greater reliance on contract CNAs compared to RNs in this segment, or simply that the baseline need for CNAs is more consistent and therefore contract staff are used to fill base level needs.</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b w:val="1"/>
          <w:rtl w:val="0"/>
        </w:rPr>
        <w:t xml:space="preserve">Slightly Wider Distribution for CNA Ratio:</w:t>
      </w:r>
      <w:r w:rsidDel="00000000" w:rsidR="00000000" w:rsidRPr="00000000">
        <w:rPr>
          <w:rtl w:val="0"/>
        </w:rPr>
        <w:t xml:space="preserve"> The standard deviation for the CNA ratio (0.0080) is a bit larger than for the RN ratio (0.0069), and the range is also wider. This could indicate slightly more day-to-day variability in CNA contract staffing compared to RNs even within small facilities.</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3. Exclusive Contract &amp; Outlier Facilities among Small Facilities (Question 5 - Variability):</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Days with &gt;= 99% Contract RN Usage:</w:t>
      </w:r>
      <w:r w:rsidDel="00000000" w:rsidR="00000000" w:rsidRPr="00000000">
        <w:rPr>
          <w:rtl w:val="0"/>
        </w:rPr>
        <w:t xml:space="preserve"> 21,126 days across all small facilities in Q2 2024.</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Unique Small Facilities with &gt;= 99% Contract RN Days:</w:t>
      </w:r>
      <w:r w:rsidDel="00000000" w:rsidR="00000000" w:rsidRPr="00000000">
        <w:rPr>
          <w:rtl w:val="0"/>
        </w:rPr>
        <w:t xml:space="preserve"> 1,997 facilities.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Outlier Small Facilities (Top 5% by Average RN Contract Ratio):</w:t>
      </w:r>
      <w:r w:rsidDel="00000000" w:rsidR="00000000" w:rsidRPr="00000000">
        <w:rPr>
          <w:rtl w:val="0"/>
        </w:rPr>
        <w:t xml:space="preserve"> 600 facilities.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Outlier Ratio Threshold:</w:t>
      </w:r>
      <w:r w:rsidDel="00000000" w:rsidR="00000000" w:rsidRPr="00000000">
        <w:rPr>
          <w:rtl w:val="0"/>
        </w:rPr>
        <w:t xml:space="preserve"> 0.3587 (Average RN Contract Ratio of 35.87% or higher is considered an outlier </w:t>
      </w:r>
      <w:r w:rsidDel="00000000" w:rsidR="00000000" w:rsidRPr="00000000">
        <w:rPr>
          <w:i w:val="1"/>
          <w:rtl w:val="0"/>
        </w:rPr>
        <w:t xml:space="preserve">among small facilities</w:t>
      </w:r>
      <w:r w:rsidDel="00000000" w:rsidR="00000000" w:rsidRPr="00000000">
        <w:rPr>
          <w:rtl w:val="0"/>
        </w:rPr>
        <w:t xml:space="preserv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Insight:</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Significant Number of "Exclusive Contract" Days Even in Small Facilities:</w:t>
      </w:r>
      <w:r w:rsidDel="00000000" w:rsidR="00000000" w:rsidRPr="00000000">
        <w:rPr>
          <w:rtl w:val="0"/>
        </w:rPr>
        <w:t xml:space="preserve"> While small facilities generally have lower </w:t>
      </w:r>
      <w:r w:rsidDel="00000000" w:rsidR="00000000" w:rsidRPr="00000000">
        <w:rPr>
          <w:i w:val="1"/>
          <w:rtl w:val="0"/>
        </w:rPr>
        <w:t xml:space="preserve">average</w:t>
      </w:r>
      <w:r w:rsidDel="00000000" w:rsidR="00000000" w:rsidRPr="00000000">
        <w:rPr>
          <w:rtl w:val="0"/>
        </w:rPr>
        <w:t xml:space="preserve"> RN contract ratios, there are still a substantial number of days (21,126) where they rely almost entirely (&gt;= 99%) on contract RNs. Almost 2,000 unique small facilities experienced this at least once during Q2. This is notable.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Outliers within Small Facilities are Still Significant Users:</w:t>
      </w:r>
      <w:r w:rsidDel="00000000" w:rsidR="00000000" w:rsidRPr="00000000">
        <w:rPr>
          <w:rtl w:val="0"/>
        </w:rPr>
        <w:t xml:space="preserve"> The outlier threshold of 35.87% average RN contract ratio is high. This means that even within the group of </w:t>
      </w:r>
      <w:r w:rsidDel="00000000" w:rsidR="00000000" w:rsidRPr="00000000">
        <w:rPr>
          <w:i w:val="1"/>
          <w:rtl w:val="0"/>
        </w:rPr>
        <w:t xml:space="preserve">small</w:t>
      </w:r>
      <w:r w:rsidDel="00000000" w:rsidR="00000000" w:rsidRPr="00000000">
        <w:rPr>
          <w:rtl w:val="0"/>
        </w:rPr>
        <w:t xml:space="preserve"> facilities, there's a segment (the top 5%) that uses contract RNs </w:t>
      </w:r>
      <w:r w:rsidDel="00000000" w:rsidR="00000000" w:rsidRPr="00000000">
        <w:rPr>
          <w:i w:val="1"/>
          <w:rtl w:val="0"/>
        </w:rPr>
        <w:t xml:space="preserve">much more heavily</w:t>
      </w:r>
      <w:r w:rsidDel="00000000" w:rsidR="00000000" w:rsidRPr="00000000">
        <w:rPr>
          <w:rtl w:val="0"/>
        </w:rPr>
        <w:t xml:space="preserve"> than the typical small facility. These 600 outlier small facilities are not "low-contract users" at all; they just use contract RNs more than </w:t>
      </w:r>
      <w:r w:rsidDel="00000000" w:rsidR="00000000" w:rsidRPr="00000000">
        <w:rPr>
          <w:i w:val="1"/>
          <w:rtl w:val="0"/>
        </w:rPr>
        <w:t xml:space="preserve">other small</w:t>
      </w:r>
      <w:r w:rsidDel="00000000" w:rsidR="00000000" w:rsidRPr="00000000">
        <w:rPr>
          <w:rtl w:val="0"/>
        </w:rPr>
        <w:t xml:space="preserve"> facilities.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Even within the "small facility" segment, there's heterogeneity. While most small facilities are lower contract RN users on average, a non-negligible portion still experiences periods of very high contract reliance and a smaller group consistently relies heavily on contract RNs (relative to other small facilities).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4. Quality &amp; Deficiencies for Small Facilities with Higher Temp Staffing:</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Correlation between Avg RN Contract Ratio and Total Health Deficiencies:</w:t>
      </w:r>
      <w:r w:rsidDel="00000000" w:rsidR="00000000" w:rsidRPr="00000000">
        <w:rPr>
          <w:rtl w:val="0"/>
        </w:rPr>
        <w:t xml:space="preserve"> 0.0787</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Correlation between Avg RN Contract Ratio and Quality Score ('score'):</w:t>
      </w:r>
      <w:r w:rsidDel="00000000" w:rsidR="00000000" w:rsidRPr="00000000">
        <w:rPr>
          <w:rtl w:val="0"/>
        </w:rPr>
        <w:t xml:space="preserve"> -0.0165</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Insight:</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b w:val="1"/>
          <w:rtl w:val="0"/>
        </w:rPr>
        <w:t xml:space="preserve">Weaker Quality/Deficiency Correlations in Small Facilities:</w:t>
      </w:r>
      <w:r w:rsidDel="00000000" w:rsidR="00000000" w:rsidRPr="00000000">
        <w:rPr>
          <w:rtl w:val="0"/>
        </w:rPr>
        <w:t xml:space="preserve"> Both correlations are </w:t>
      </w:r>
      <w:r w:rsidDel="00000000" w:rsidR="00000000" w:rsidRPr="00000000">
        <w:rPr>
          <w:b w:val="1"/>
          <w:rtl w:val="0"/>
        </w:rPr>
        <w:t xml:space="preserve">weaker</w:t>
      </w:r>
      <w:r w:rsidDel="00000000" w:rsidR="00000000" w:rsidRPr="00000000">
        <w:rPr>
          <w:rtl w:val="0"/>
        </w:rPr>
        <w:t xml:space="preserve"> than the mild correlations observed in the overall analysis (0.0954 for deficiencies and -0.0717 for the four-quarter quality score in the general analysis).</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b w:val="1"/>
          <w:rtl w:val="0"/>
        </w:rPr>
        <w:t xml:space="preserve">Very Weak Positive Correlation with Deficiencies:</w:t>
      </w:r>
      <w:r w:rsidDel="00000000" w:rsidR="00000000" w:rsidRPr="00000000">
        <w:rPr>
          <w:rtl w:val="0"/>
        </w:rPr>
        <w:t xml:space="preserve"> The 0.0787 correlation with deficiencies is still positive, suggesting a </w:t>
      </w:r>
      <w:r w:rsidDel="00000000" w:rsidR="00000000" w:rsidRPr="00000000">
        <w:rPr>
          <w:i w:val="1"/>
          <w:rtl w:val="0"/>
        </w:rPr>
        <w:t xml:space="preserve">very slight</w:t>
      </w:r>
      <w:r w:rsidDel="00000000" w:rsidR="00000000" w:rsidRPr="00000000">
        <w:rPr>
          <w:rtl w:val="0"/>
        </w:rPr>
        <w:t xml:space="preserve"> tendency for small facilities with higher average RN contract ratios to also have slightly more health deficiencies. However, this is a very weak relationship and may not be practically significant.</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b w:val="1"/>
          <w:rtl w:val="0"/>
        </w:rPr>
        <w:t xml:space="preserve">Essentially No Correlation with Quality Score:</w:t>
      </w:r>
      <w:r w:rsidDel="00000000" w:rsidR="00000000" w:rsidRPr="00000000">
        <w:rPr>
          <w:rtl w:val="0"/>
        </w:rPr>
        <w:t xml:space="preserve"> The -0.0165 correlation with the quality score is practically zero. This indicates that in small facilities, there's </w:t>
      </w:r>
      <w:r w:rsidDel="00000000" w:rsidR="00000000" w:rsidRPr="00000000">
        <w:rPr>
          <w:b w:val="1"/>
          <w:rtl w:val="0"/>
        </w:rPr>
        <w:t xml:space="preserve">virtually no linear relationship</w:t>
      </w:r>
      <w:r w:rsidDel="00000000" w:rsidR="00000000" w:rsidRPr="00000000">
        <w:rPr>
          <w:rtl w:val="0"/>
        </w:rPr>
        <w:t xml:space="preserve"> between the average RN contract ratio and the quality score (assuming 'score' is a relevant measure).</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For small facilities, the link between RN contract staffing and overall quality metrics (deficiencies, 'score') appears to be even less pronounced than for the general nursing home population. Other factors are likely playing a much larger role in quality outcomes in this segment.</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5. Ownership Type of Small Facilities:</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Ownership Type Distribution:</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Individual Owners: 72.9%</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Organizations: 27.1%</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Average RN Contract Ratio by Ownership Type: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Individual Owners: 0.0601 (6.01%)</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Organizations: 0.0558 (5.58%)</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Insight:</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Predominance of Individual Ownership:</w:t>
      </w:r>
      <w:r w:rsidDel="00000000" w:rsidR="00000000" w:rsidRPr="00000000">
        <w:rPr>
          <w:rtl w:val="0"/>
        </w:rPr>
        <w:t xml:space="preserve"> Small facilities are </w:t>
      </w:r>
      <w:r w:rsidDel="00000000" w:rsidR="00000000" w:rsidRPr="00000000">
        <w:rPr>
          <w:b w:val="1"/>
          <w:rtl w:val="0"/>
        </w:rPr>
        <w:t xml:space="preserve">significantly more likely to be individually owned (73%) than organizationally owned (27%)</w:t>
      </w:r>
      <w:r w:rsidDel="00000000" w:rsidR="00000000" w:rsidRPr="00000000">
        <w:rPr>
          <w:rtl w:val="0"/>
        </w:rPr>
        <w:t xml:space="preserve">. This is a notable difference compared to the overall nursing home landscape, which might have a higher proportion of chain or organizational ownership.</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Slightly Higher RN Ratio for Individually Owned Small Facilities:</w:t>
      </w:r>
      <w:r w:rsidDel="00000000" w:rsidR="00000000" w:rsidRPr="00000000">
        <w:rPr>
          <w:rtl w:val="0"/>
        </w:rPr>
        <w:t xml:space="preserve"> Individually owned small facilities have a slightly higher average RN contract ratio (6.01%) compared to organizationally owned small facilities (5.58%). This difference is small, but it suggests that individual owners might be slightly more inclined to use contract RNs, perhaps due to different resource constraints or operational models.</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Overall Insights on Small Nursing Facilities (&lt;= 120 Residents):</w:t>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b w:val="1"/>
          <w:rtl w:val="0"/>
        </w:rPr>
        <w:t xml:space="preserve">Lower Contract Staffing in General:</w:t>
      </w:r>
      <w:r w:rsidDel="00000000" w:rsidR="00000000" w:rsidRPr="00000000">
        <w:rPr>
          <w:rtl w:val="0"/>
        </w:rPr>
        <w:t xml:space="preserve"> Small facilities generally exhibit lower average RN contract ratios compared to the overall nursing home population, suggesting a greater reliance on permanent RN staff.</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Census Still Matters for CNAs:</w:t>
      </w:r>
      <w:r w:rsidDel="00000000" w:rsidR="00000000" w:rsidRPr="00000000">
        <w:rPr>
          <w:rtl w:val="0"/>
        </w:rPr>
        <w:t xml:space="preserve"> Despite being smaller, the negative correlation between CNA contract ratio and census is maintained, indicating that even in these facilities, staffing adjustments related to resident census are happening, especially for CNAs.</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Hidden Pockets of High Contract Usage:</w:t>
      </w:r>
      <w:r w:rsidDel="00000000" w:rsidR="00000000" w:rsidRPr="00000000">
        <w:rPr>
          <w:rtl w:val="0"/>
        </w:rPr>
        <w:t xml:space="preserve"> While the average is lower, there are still significant instances of very high (near 100%) contract RN usage days and a segment of outlier small facilities that consistently use contract RNs more heavily than their peers. These are important exceptions to the general trend.</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Weaker Link to Quality Metrics:</w:t>
      </w:r>
      <w:r w:rsidDel="00000000" w:rsidR="00000000" w:rsidRPr="00000000">
        <w:rPr>
          <w:rtl w:val="0"/>
        </w:rPr>
        <w:t xml:space="preserve"> The relationship between RN contract staffing and overall quality/deficiency metrics is even weaker in small facilities than in the general population. This suggests quality in small facilities is driven by factors less directly tied to contract RN usage.</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b w:val="1"/>
          <w:rtl w:val="0"/>
        </w:rPr>
        <w:t xml:space="preserve">Individual Ownership is Key:</w:t>
      </w:r>
      <w:r w:rsidDel="00000000" w:rsidR="00000000" w:rsidRPr="00000000">
        <w:rPr>
          <w:rtl w:val="0"/>
        </w:rPr>
        <w:t xml:space="preserve"> Small facilities are predominantly individually owned. This ownership structure might influence their staffing models and resource availability. Individually owned small facilities may have slightly different staffing needs or preferences regarding contract RN usage compared to organizationally owned ones.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Implications for Clipboard Health:</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Targeting Strategy Needs Nuance:</w:t>
      </w:r>
      <w:r w:rsidDel="00000000" w:rsidR="00000000" w:rsidRPr="00000000">
        <w:rPr>
          <w:rtl w:val="0"/>
        </w:rPr>
        <w:t xml:space="preserve"> While smaller facilities might be </w:t>
      </w:r>
      <w:r w:rsidDel="00000000" w:rsidR="00000000" w:rsidRPr="00000000">
        <w:rPr>
          <w:i w:val="1"/>
          <w:rtl w:val="0"/>
        </w:rPr>
        <w:t xml:space="preserve">generally</w:t>
      </w:r>
      <w:r w:rsidDel="00000000" w:rsidR="00000000" w:rsidRPr="00000000">
        <w:rPr>
          <w:rtl w:val="0"/>
        </w:rPr>
        <w:t xml:space="preserve"> lower contract users, they are </w:t>
      </w:r>
      <w:r w:rsidDel="00000000" w:rsidR="00000000" w:rsidRPr="00000000">
        <w:rPr>
          <w:b w:val="1"/>
          <w:rtl w:val="0"/>
        </w:rPr>
        <w:t xml:space="preserve">not a negligible market</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Focus on the </w:t>
      </w:r>
      <w:r w:rsidDel="00000000" w:rsidR="00000000" w:rsidRPr="00000000">
        <w:rPr>
          <w:b w:val="1"/>
          <w:rtl w:val="0"/>
        </w:rPr>
        <w:t xml:space="preserve">"outlier small facilities"</w:t>
      </w:r>
      <w:r w:rsidDel="00000000" w:rsidR="00000000" w:rsidRPr="00000000">
        <w:rPr>
          <w:rtl w:val="0"/>
        </w:rPr>
        <w:t xml:space="preserve"> (the top 5% by RN ratio). These are still significant users of contract RNs within their segment.</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Address the </w:t>
      </w:r>
      <w:r w:rsidDel="00000000" w:rsidR="00000000" w:rsidRPr="00000000">
        <w:rPr>
          <w:b w:val="1"/>
          <w:rtl w:val="0"/>
        </w:rPr>
        <w:t xml:space="preserve">"exclusive contract day" phenomenon</w:t>
      </w:r>
      <w:r w:rsidDel="00000000" w:rsidR="00000000" w:rsidRPr="00000000">
        <w:rPr>
          <w:rtl w:val="0"/>
        </w:rPr>
        <w:t xml:space="preserve">. Even if average usage is low, the fact that many small facilities have days of near-total contract RN reliance points to a need for on-demand solutions to cover unexpected gaps.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Highlight solutions for </w:t>
      </w:r>
      <w:r w:rsidDel="00000000" w:rsidR="00000000" w:rsidRPr="00000000">
        <w:rPr>
          <w:b w:val="1"/>
          <w:rtl w:val="0"/>
        </w:rPr>
        <w:t xml:space="preserve">CNA staffing</w:t>
      </w:r>
      <w:r w:rsidDel="00000000" w:rsidR="00000000" w:rsidRPr="00000000">
        <w:rPr>
          <w:rtl w:val="0"/>
        </w:rPr>
        <w:t xml:space="preserve">, as the census correlation still exists, and there is a baseline need for contract CNAs, especially considering the weekend/variability patterns seen in the general analysis (although not explicitly analyzed for small facilities here, it's a reasonable assumption).</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Tailor Messaging to Individual Owners:</w:t>
      </w:r>
      <w:r w:rsidDel="00000000" w:rsidR="00000000" w:rsidRPr="00000000">
        <w:rPr>
          <w:rtl w:val="0"/>
        </w:rPr>
        <w:t xml:space="preserve"> Given the prevalence of individual ownership in small facilities, messaging might need to resonate with the specific challenges and priorities of individual owners versus large organizations. Perhaps focusing on cost-effectiveness, flexibility for smaller budgets, and ease of use for less complex administrative structures.</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Quality Message May Be Less Direct:</w:t>
      </w:r>
      <w:r w:rsidDel="00000000" w:rsidR="00000000" w:rsidRPr="00000000">
        <w:rPr>
          <w:rtl w:val="0"/>
        </w:rPr>
        <w:t xml:space="preserve"> The weak quality correlation in small facilities suggests that directly linking Clipboard Health to </w:t>
      </w:r>
      <w:r w:rsidDel="00000000" w:rsidR="00000000" w:rsidRPr="00000000">
        <w:rPr>
          <w:i w:val="1"/>
          <w:rtl w:val="0"/>
        </w:rPr>
        <w:t xml:space="preserve">improving overall quality scores</w:t>
      </w:r>
      <w:r w:rsidDel="00000000" w:rsidR="00000000" w:rsidRPr="00000000">
        <w:rPr>
          <w:rtl w:val="0"/>
        </w:rPr>
        <w:t xml:space="preserve"> might be less effective in this segment. Instead, focus on the operational benefits: reliability, filling gaps, reducing stress, and potentially cost control through efficient staffing.</w:t>
      </w:r>
    </w:p>
    <w:p w:rsidR="00000000" w:rsidDel="00000000" w:rsidP="00000000" w:rsidRDefault="00000000" w:rsidRPr="00000000" w14:paraId="0000004A">
      <w:pPr>
        <w:spacing w:after="240" w:before="240" w:lineRule="auto"/>
        <w:rPr/>
      </w:pPr>
      <w:r w:rsidDel="00000000" w:rsidR="00000000" w:rsidRPr="00000000">
        <w:rPr>
          <w:rtl w:val="0"/>
        </w:rPr>
        <w:t xml:space="preserve">In summary, analyzing small facilities reveals a more nuanced picture. They are generally less reliant on contract RNs on average, but still have significant needs and specific segments within them that are relevant for Clipboard Health. A targeted approach that acknowledges these nuances is likely to be more effective than a one-size-fits-all strategy.</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