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D2240"/>
          <w:sz w:val="34"/>
        </w:rPr>
        <w:t>PROA-DEV-INICIACAO-001</w:t>
      </w:r>
    </w:p>
    <w:p>
      <w:pPr>
        <w:spacing w:before="0" w:after="200"/>
        <w:jc w:val="center"/>
      </w:pPr>
      <w:r>
        <w:rPr>
          <w:rFonts w:ascii="Arial" w:hAnsi="Arial"/>
          <w:b/>
          <w:color w:val="0D2240"/>
          <w:sz w:val="25"/>
        </w:rPr>
        <w:t>MATERIAL DE INICIAÇÃO PARA DESENVOLVEDORES</w:t>
      </w:r>
    </w:p>
    <w:p>
      <w:pPr>
        <w:spacing w:before="0" w:after="40"/>
        <w:jc w:val="center"/>
      </w:pPr>
      <w:r>
        <w:rPr>
          <w:rFonts w:ascii="Arial" w:hAnsi="Arial"/>
          <w:b/>
          <w:sz w:val="22"/>
        </w:rPr>
        <w:t>DOCUMENTO DE GOVERNANÇA — MATERIAL DE INICIAÇÃO DEV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95959"/>
          <w:sz w:val="19"/>
        </w:rPr>
        <w:t>Projeto PROA — Metodologia de Governança Preventiva  |  Versão V2.0 — atualizada em 14/10/2026</w:t>
      </w:r>
    </w:p>
    <w:p>
      <w:pPr>
        <w:spacing w:before="0" w:after="80"/>
        <w:jc w:val="center"/>
        <w:pBdr>
          <w:bottom w:val="single" w:sz="8" w:space="4" w:color="0D2240"/>
        </w:pBdr>
      </w:pPr>
      <w:r>
        <w:rPr>
          <w:rFonts w:ascii="Arial" w:hAnsi="Arial"/>
          <w:b w:val="0"/>
          <w:color w:val="595959"/>
          <w:sz w:val="19"/>
        </w:rPr>
        <w:t>Onda 1 (Seed) FECHADA  •  Onda 2 (Biblioteca Normativa) FECHADA — 48/48 VALIDADA</w:t>
      </w:r>
    </w:p>
    <w:p>
      <w:pPr>
        <w:spacing w:before="0" w:after="240"/>
        <w:jc w:val="both"/>
      </w:pPr>
      <w:r>
        <w:rPr>
          <w:rFonts w:ascii="Arial" w:hAnsi="Arial"/>
          <w:b w:val="0"/>
          <w:sz w:val="22"/>
        </w:rPr>
        <w:t>Este documento é a porta de entrada do desenvolvedor no projeto PROA V2.0. Ele concentra, em um único lugar, o que você precisa saber antes do primeiro commit: o contexto do projeto, a arquitetura de dados, o protocolo de carga, as convenções de dados e linguagem, a governança de mudanças, os cuidados de segurança e LGPD e o fluxo de contribuição no repositório. Leia com atenção: as regras aqui descritas são preventivas — existem para que você contribua com segurança desde o primeiro dia, sem precisar corrigir nada depois.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1. OBJETIVO E PÚBLICO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Este material é destinado a desenvolvedores que entram no projeto PROA V2.0. Ele apresenta, em sequência lógica, o contexto do projeto, a arquitetura de dados, o protocolo de carga de dados, as convenções de dados e linguagem, a governança de mudanças, a segurança e LGPD e o fluxo de contribuição, encerrando com um checklist de onboarding e as referências do projeto.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O objetivo é direto: permitir que você contribua desde o primeiro dia com segurança, sem quebrar as regras do método. É a governança preventiva aplicada ao próprio desenvolvimento — as barreiras são explicadas antes do primeiro commit, e não descobertas depois, em correção.</w:t>
      </w:r>
    </w:p>
    <w:p>
      <w:pPr>
        <w:pStyle w:val="ListBullet"/>
        <w:spacing w:after="40"/>
      </w:pPr>
      <w:r>
        <w:rPr>
          <w:rFonts w:ascii="Arial" w:hAnsi="Arial"/>
          <w:b/>
          <w:sz w:val="22"/>
        </w:rPr>
        <w:t>Ao final da leitura, você deve saber: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O que é o PROA e onde ficam os limites entre a série V01 e a versão V2.0;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Como o banco de dados está organizado e por que nada é apagado sem rastro;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Como preparar, validar e executar uma carga de dados (CSV + staging);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Quais termos não podem aparecer em texto visível e o que usar no lugar;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Como propor mudanças e enviar um Pull Request no repositório PROACODE.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2. CONTEXTO DO PROJETO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O PROA é uma metodologia de governança preventiva para condomínios, associações e loteamentos. A metodologia é organizada em 18 blocos temáticos (B01 a B18), totalizando 738 itens de verificação: 41 itens por bloco, cada um avaliado em 6 campos (41 × 6 = 738).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V01 — série operacional.</w:t>
      </w:r>
      <w:r>
        <w:rPr>
          <w:rFonts w:ascii="Arial" w:hAnsi="Arial"/>
          <w:b w:val="0"/>
          <w:sz w:val="22"/>
        </w:rPr>
        <w:t xml:space="preserve"> Materializada no Índice Mestre, com 197 documentos.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V2.0 — série do SaaS multitenant.</w:t>
      </w:r>
      <w:r>
        <w:rPr>
          <w:rFonts w:ascii="Arial" w:hAnsi="Arial"/>
          <w:b w:val="0"/>
          <w:sz w:val="22"/>
        </w:rPr>
        <w:t xml:space="preserve"> Todo artefato desta série usa o prefixo V2- (ex.: PROA-SCHEMA-V2-001).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Regra anti-poluição: artefatos V2.0 não entram na série V01. Cada série tem acervo, numeração e ciclo de vida próprios; conteúdo não migra de uma para a outra sem decisão formal de governança.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Pilotos reais previstos na Fase D: Miami (condomínio — 60 casas) e Los Alamos (associação — 370 casas). Dados reais de moradores, associados e funcionários só entram no sistema a partir do piloto — nenhum ambiente de desenvolvimento deve conter dados reais.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Natureza do método: o PROA nunca é obrigação legal automática. O sistema apoia o consultor — organiza evidências, sugere caminhos e registra estados —, mas não substitui o julgamento do consultor. Essa premissa explica o tom orientativo da plataforma (Seção 5) e a escala de avaliação qualitativa (Seção 6).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3. ARQUITETURA DE DADOS (AGNÓSTICA DE PLATAFORMA)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O padrão de banco de dados é PostgreSQL; a plataforma definitiva será decidida na fase de importação (Supabase ou outra). Por isso, schema e CSVs são agnósticos de plataforma: nenhum recurso exclusivo de fornecedor no schema, nos tipos de dados ou nos arquivos de carga.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O schema define 10 tabelas principais. As três estruturais são: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blocos</w:t>
      </w:r>
      <w:r>
        <w:rPr>
          <w:rFonts w:ascii="Arial" w:hAnsi="Arial"/>
          <w:b w:val="0"/>
          <w:sz w:val="22"/>
        </w:rPr>
        <w:t xml:space="preserve"> — os 18 blocos B01 a B18 (codigo, nome, ordem);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base_versoes</w:t>
      </w:r>
      <w:r>
        <w:rPr>
          <w:rFonts w:ascii="Arial" w:hAnsi="Arial"/>
          <w:b w:val="0"/>
          <w:sz w:val="22"/>
        </w:rPr>
        <w:t xml:space="preserve"> — as versões da base (ex.: v1.0, status rascunho);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itens</w:t>
      </w:r>
      <w:r>
        <w:rPr>
          <w:rFonts w:ascii="Arial" w:hAnsi="Arial"/>
          <w:b w:val="0"/>
          <w:sz w:val="22"/>
        </w:rPr>
        <w:t xml:space="preserve"> — os 738 itens de verificação, ligados a bloco e versão.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As demais tabelas — a Biblioteca de Normas com seus campos técnicos, o vínculo Item × Norma em relação N:N e os vencimentos 90/60/30 identificados pelos códigos VEN-XXX — seguem a definição canônica do PROA-SCHEMA-V2-001. Em dúvida sobre nome de tabela, coluna ou tipo, consulte o schema; não improvise.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Colunas de conteúdo dos itens (sem prefixo campo_*).</w:t>
      </w:r>
      <w:r>
        <w:rPr>
          <w:rFonts w:ascii="Arial" w:hAnsi="Arial"/>
          <w:b w:val="0"/>
          <w:sz w:val="22"/>
        </w:rPr>
        <w:t xml:space="preserve"> Os nomes são: por_que_faz, o_que_faz, como_faz, criterios_analise, problemas_identificados e como_solucionar. Preserve exatamente esses nomes em queries, seeds e código de aplicação.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Enums.</w:t>
      </w:r>
      <w:r>
        <w:rPr>
          <w:rFonts w:ascii="Arial" w:hAnsi="Arial"/>
          <w:b w:val="0"/>
          <w:sz w:val="22"/>
        </w:rPr>
        <w:t xml:space="preserve"> O schema define 5 enums; os valores canônicos estão no PROA-SCHEMA-V2-001. Novo valor exige migração versionada e aprovação de governança.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Biblioteca Normativa (Onda 2 FECHADA): 48 normas cadastradas, de NB-001 a NB-048, cada uma com os campos técnicos artigo_secao, edicao_ano, data_consulta, responsavel_validacao e limite_aplicabilidade, além do campo nota_orientativa — campo novo, um comentário de aplicação versionado, que pode ter anexo. A nota_orientativa é o lugar de explicar, em linguagem consultiva, quando e como a norma se aplica ao condomínio, à associação ou ao loteamento.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Mutabilidade — o banco organiza a mudança com rastro (não apaga):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Conteúdo evolui com versionamento e vigência.</w:t>
      </w:r>
      <w:r>
        <w:rPr>
          <w:rFonts w:ascii="Arial" w:hAnsi="Arial"/>
          <w:b w:val="0"/>
          <w:sz w:val="22"/>
        </w:rPr>
        <w:t xml:space="preserve"> Cada revisão cria nova versão, com datas de vigência;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Dado de uso nasce imutável (time-series).</w:t>
      </w:r>
      <w:r>
        <w:rPr>
          <w:rFonts w:ascii="Arial" w:hAnsi="Arial"/>
          <w:b w:val="0"/>
          <w:sz w:val="22"/>
        </w:rPr>
        <w:t xml:space="preserve"> O que o consultor registrou no uso do sistema é série histórica;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Schema evolui por migração versionada.</w:t>
      </w:r>
      <w:r>
        <w:rPr>
          <w:rFonts w:ascii="Arial" w:hAnsi="Arial"/>
          <w:b w:val="0"/>
          <w:sz w:val="22"/>
        </w:rPr>
        <w:t xml:space="preserve"> Nunca altere estrutura por edição direta no banco;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Trilha de rastreabilidade com 7 metadados.</w:t>
      </w:r>
      <w:r>
        <w:rPr>
          <w:rFonts w:ascii="Arial" w:hAnsi="Arial"/>
          <w:b w:val="0"/>
          <w:sz w:val="22"/>
        </w:rPr>
        <w:t xml:space="preserve"> quem, o quê, quando, onde, evidência, severidade e vínculo. O princípio em uma frase: tudo muda com registro.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4. PROTOCOLO DE CARGA DE DADOS (IMPORTAÇÃO)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A abordagem aprovada para importação é: CSV + staging + validação de contagens e referências + inserção em ordem. Nada de SQL manual gigante: os UUIDs são gerados por defaults do banco e os arquivos de carga são os seeds versionados no repositório. A sequência é:</w:t>
      </w:r>
    </w:p>
    <w:p>
      <w:pPr>
        <w:pStyle w:val="ListNumber"/>
        <w:spacing w:after="80"/>
      </w:pPr>
      <w:r>
        <w:rPr>
          <w:rFonts w:ascii="Arial" w:hAnsi="Arial"/>
          <w:b w:val="0"/>
          <w:sz w:val="22"/>
        </w:rPr>
        <w:t>Carga dos CSVs em tabelas de staging;</w:t>
      </w:r>
    </w:p>
    <w:p>
      <w:pPr>
        <w:pStyle w:val="ListNumber"/>
        <w:spacing w:after="80"/>
      </w:pPr>
      <w:r>
        <w:rPr>
          <w:rFonts w:ascii="Arial" w:hAnsi="Arial"/>
          <w:b w:val="0"/>
          <w:sz w:val="22"/>
        </w:rPr>
        <w:t>Validação automática de contagens e integridade referencial;</w:t>
      </w:r>
    </w:p>
    <w:p>
      <w:pPr>
        <w:pStyle w:val="ListNumber"/>
        <w:spacing w:after="80"/>
      </w:pPr>
      <w:r>
        <w:rPr>
          <w:rFonts w:ascii="Arial" w:hAnsi="Arial"/>
          <w:b w:val="0"/>
          <w:sz w:val="22"/>
        </w:rPr>
        <w:t>Inserção final na ordem blocos → base_versoes → itens.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Fontes de seed (Onda 1 FECHADA), todas em UTF-8 com BOM: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0D22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876"/>
            <w:shd w:val="clear" w:fill="0D22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1928"/>
            <w:shd w:val="clear" w:fill="0D22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Contagem esperada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PROA-SEED-BLOCOS.csv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Os 18 blocos (codigo, nome, ordem).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18 registros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PROA-SEED-VERSAO.csv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 versão v1.0 (status rascunho).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 registro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PROA-SEED-ITENS.csv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Os 738 itens — tipo=oficial, ativo=true, versao=v1.0; item_numero com zero à esquerda (ex.: 01), preservado como texto.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738 registros</w:t>
            </w:r>
          </w:p>
        </w:tc>
      </w:tr>
    </w:tbl>
    <w:p>
      <w:pPr>
        <w:spacing w:before="120" w:after="160"/>
        <w:jc w:val="both"/>
      </w:pPr>
      <w:r>
        <w:rPr>
          <w:rFonts w:ascii="Arial" w:hAnsi="Arial"/>
          <w:b w:val="0"/>
          <w:sz w:val="22"/>
        </w:rPr>
        <w:t>Validação obrigatória na importação: conferir as contagens (18 blocos / 1 versão / 738 itens) e a integridade referencial — cada item aponta para bloco e versão existentes. Em caso de divergência, a carga é rejeitada: a correção é aplicada na origem (planilha ou CSV) e a carga é refeita. Nunca corrija dado diretamente no banco; o banco nunca é o lugar de conserto.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5. CONVENÇÕES DE DADOS E LINGUAGEM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A plataforma fala a língua do consultor: linguagem consultiva e amigável, detalhada e de fácil assimilação. Para manter esse tom, a purificação linguística veda os seguintes termos em qualquer texto visível (interface, relatórios, mensagens e documentos gerados): auditoria, fiscalização, não conformidade, inconformidade, penalidade e multa punitiva.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Substituições canônicas: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948"/>
            <w:shd w:val="clear" w:fill="0D22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Termo vedado</w:t>
            </w:r>
          </w:p>
        </w:tc>
        <w:tc>
          <w:tcPr>
            <w:tcW w:type="dxa" w:w="6463"/>
            <w:shd w:val="clear" w:fill="0D22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Substituto canônico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auditoria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acompanhamento orientativo / verificação de campo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trilha de auditoria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trilha de rastreabilidade</w:t>
            </w:r>
          </w:p>
        </w:tc>
      </w:tr>
    </w:tbl>
    <w:p>
      <w:pPr>
        <w:spacing w:before="120" w:after="160"/>
        <w:jc w:val="both"/>
      </w:pPr>
      <w:r>
        <w:rPr>
          <w:rFonts w:ascii="Arial" w:hAnsi="Arial"/>
          <w:b w:val="0"/>
          <w:sz w:val="22"/>
        </w:rPr>
        <w:t>audit_trail existe somente em código (nome de tabela ou campo) e nunca aparece em texto visível ao usuário. Para os demais termos vedados não há substituto publicado: reescreva a frase em tom orientativo — descreva o fato observado e a recomendação —, sem atribuir caráter punitivo à constatação.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A informação é sempre atualizável, pelo ciclo propor → deliberar → registrar → revisar, sem perda de histórico. Em qualquer texto novo que você escrever (UI, seed, mensagem de sistema), aplique a purificação linguística antes de abrir o Pull Request.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6. GOVERNANÇA DE MUDANÇAS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A fonte única de verdade do projeto é o PROA-REGRAS-V2-001. Ele prevalece sobre qualquer material de apoio, inclusive IAs de apoio usadas no desenvolvimento, salvo alteração formal do Consultor. A autoridade final sobre o método é do Consultor.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Dúvida de regra?</w:t>
      </w:r>
      <w:r>
        <w:rPr>
          <w:rFonts w:ascii="Arial" w:hAnsi="Arial"/>
          <w:b w:val="0"/>
          <w:sz w:val="22"/>
        </w:rPr>
        <w:t xml:space="preserve"> Consulte o PROA-REGRAS-V2-001 antes de codificar;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Conflito entre documentos?</w:t>
      </w:r>
      <w:r>
        <w:rPr>
          <w:rFonts w:ascii="Arial" w:hAnsi="Arial"/>
          <w:b w:val="0"/>
          <w:sz w:val="22"/>
        </w:rPr>
        <w:t xml:space="preserve"> Prevalece o PROA-REGRAS-V2-001;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Mudança de regra?</w:t>
      </w:r>
      <w:r>
        <w:rPr>
          <w:rFonts w:ascii="Arial" w:hAnsi="Arial"/>
          <w:b w:val="0"/>
          <w:sz w:val="22"/>
        </w:rPr>
        <w:t xml:space="preserve"> Proposta formal → decisão do Consultor → atualização do documento → só então o código.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Escala de avaliação dos itens de verificação: Atende / Atende com ajuste / Não atende. Preserve esses três rótulos exatamente como definidos — eles alimentam relatórios e índices da plataforma.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Vigência das normas: revisão semestral, com atualização do status de vigência e da URL canônica de cada norma. Ao tocar em código que exibe norma, considere que ela pode estar vigente, revogada ou alterada — exiba sempre o status e a fonte.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7. SEGURANÇA E LGPD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O sistema trata dados pessoais de moradores, associados e funcionários. O tratamento segue a LGPD (Lei nº 13.709/2018): princípios da lei, base legal de cada tratamento e registro das operações de tratamento, com encarregado (DPO) definido para o projeto.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Criptografia AES-256</w:t>
      </w:r>
      <w:r>
        <w:rPr>
          <w:rFonts w:ascii="Arial" w:hAnsi="Arial"/>
          <w:b w:val="0"/>
          <w:sz w:val="22"/>
        </w:rPr>
        <w:t xml:space="preserve"> para dados sensíveis;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Backup 3-2-1</w:t>
      </w:r>
      <w:r>
        <w:rPr>
          <w:rFonts w:ascii="Arial" w:hAnsi="Arial"/>
          <w:b w:val="0"/>
          <w:sz w:val="22"/>
        </w:rPr>
        <w:t xml:space="preserve"> três cópias, dois meios, uma cópia fora do local principal;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Permissões por perfil</w:t>
      </w:r>
      <w:r>
        <w:rPr>
          <w:rFonts w:ascii="Arial" w:hAnsi="Arial"/>
          <w:b w:val="0"/>
          <w:sz w:val="22"/>
        </w:rPr>
        <w:t xml:space="preserve"> Master grava; Dirigente consulta.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Princípio de campo: ausência de documentação não significa ausência de proteção. O sistema registra evidências e estados — inclusive o estado INEXISTENTE, sempre com justificativa. Nunca deixe um campo vazio para significar “não se aplica”: registre o estado e a justificativa.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Para o desenvolvedor: nenhum dado real de piloto em ambiente de desenvolvimento (Seção 2); fixtures e seeds de teste usam apenas dados fictícios, coerentes com a LGPD.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8. FLUXO DE CONTRIBUIÇÃO (GITHUB)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O código e os artefatos de carga vivem no repositório PROACODE. A estrutura relevante para dados: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database/seeds</w:t>
      </w:r>
      <w:r>
        <w:rPr>
          <w:rFonts w:ascii="Arial" w:hAnsi="Arial"/>
          <w:b w:val="0"/>
          <w:sz w:val="22"/>
        </w:rPr>
        <w:t xml:space="preserve"> — arquivos de carga (planilhas e CSVs);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 w:val="0"/>
          <w:sz w:val="22"/>
        </w:rPr>
        <w:t xml:space="preserve"> — schema versionado e migrações (migration versionada).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Fluxo de contribuição: branch feature a partir da main → commit descritivo → push → Pull Request → revisão → merge. Nenhum commit direto na main.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Convenção de mensagens de commit: prefixos feat:, fix: e docs: (ex.: “feat: carga onda 1 seed”).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Regras de higiene de repositório: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git status limpo</w:t>
      </w:r>
      <w:r>
        <w:rPr>
          <w:rFonts w:ascii="Arial" w:hAnsi="Arial"/>
          <w:b w:val="0"/>
          <w:sz w:val="22"/>
        </w:rPr>
        <w:t xml:space="preserve"> antes de adicionar arquivos;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Escopo restrito:</w:t>
      </w:r>
      <w:r>
        <w:rPr>
          <w:rFonts w:ascii="Arial" w:hAnsi="Arial"/>
          <w:b w:val="0"/>
          <w:sz w:val="22"/>
        </w:rPr>
        <w:t xml:space="preserve"> nunca commitar arquivos fora do escopo da tarefa;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Nomes de arquivos:</w:t>
      </w:r>
      <w:r>
        <w:rPr>
          <w:rFonts w:ascii="Arial" w:hAnsi="Arial"/>
          <w:b w:val="0"/>
          <w:sz w:val="22"/>
        </w:rPr>
        <w:t xml:space="preserve"> conferir sempre — sem sufixos duplicados do tipo “(1)”, “_1_”, “final”, “final2”;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Um arquivo por artefato:</w:t>
      </w:r>
      <w:r>
        <w:rPr>
          <w:rFonts w:ascii="Arial" w:hAnsi="Arial"/>
          <w:b w:val="0"/>
          <w:sz w:val="22"/>
        </w:rPr>
        <w:t xml:space="preserve"> uma planilha ou um CSV por documento PROA, sem cópias paralelas.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9. CHECKLIST DE ONBOARDING DO DEV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Marque cada item ao concluir. O onboarding só está completo com todos os campos marcados:</w:t>
      </w:r>
    </w:p>
    <w:p>
      <w:pPr>
        <w:spacing w:after="100"/>
        <w:ind w:left="425"/>
      </w:pPr>
      <w:r>
        <w:rPr>
          <w:rFonts w:ascii="Arial" w:hAnsi="Arial"/>
          <w:b/>
          <w:color w:val="0D2240"/>
          <w:sz w:val="22"/>
        </w:rPr>
        <w:t xml:space="preserve">□  </w:t>
      </w:r>
      <w:r>
        <w:rPr>
          <w:rFonts w:ascii="Arial" w:hAnsi="Arial"/>
          <w:b w:val="0"/>
          <w:sz w:val="22"/>
        </w:rPr>
        <w:t>Ler PROA-REGRAS-V2-001 (fonte canônica)</w:t>
      </w:r>
    </w:p>
    <w:p>
      <w:pPr>
        <w:spacing w:after="100"/>
        <w:ind w:left="425"/>
      </w:pPr>
      <w:r>
        <w:rPr>
          <w:rFonts w:ascii="Arial" w:hAnsi="Arial"/>
          <w:b/>
          <w:color w:val="0D2240"/>
          <w:sz w:val="22"/>
        </w:rPr>
        <w:t xml:space="preserve">□  </w:t>
      </w:r>
      <w:r>
        <w:rPr>
          <w:rFonts w:ascii="Arial" w:hAnsi="Arial"/>
          <w:b w:val="0"/>
          <w:sz w:val="22"/>
        </w:rPr>
        <w:t>Ler PROA-DEV-INICIACAO-001 (este documento)</w:t>
      </w:r>
    </w:p>
    <w:p>
      <w:pPr>
        <w:spacing w:after="100"/>
        <w:ind w:left="425"/>
      </w:pPr>
      <w:r>
        <w:rPr>
          <w:rFonts w:ascii="Arial" w:hAnsi="Arial"/>
          <w:b/>
          <w:color w:val="0D2240"/>
          <w:sz w:val="22"/>
        </w:rPr>
        <w:t xml:space="preserve">□  </w:t>
      </w:r>
      <w:r>
        <w:rPr>
          <w:rFonts w:ascii="Arial" w:hAnsi="Arial"/>
          <w:b w:val="0"/>
          <w:sz w:val="22"/>
        </w:rPr>
        <w:t>Revisar PROA-SCHEMA-V2-001 e o schema SQL em database/</w:t>
      </w:r>
    </w:p>
    <w:p>
      <w:pPr>
        <w:spacing w:after="100"/>
        <w:ind w:left="425"/>
      </w:pPr>
      <w:r>
        <w:rPr>
          <w:rFonts w:ascii="Arial" w:hAnsi="Arial"/>
          <w:b/>
          <w:color w:val="0D2240"/>
          <w:sz w:val="22"/>
        </w:rPr>
        <w:t xml:space="preserve">□  </w:t>
      </w:r>
      <w:r>
        <w:rPr>
          <w:rFonts w:ascii="Arial" w:hAnsi="Arial"/>
          <w:b w:val="0"/>
          <w:sz w:val="22"/>
        </w:rPr>
        <w:t>Revisar a pasta database/seeds (CSVs e planilhas de carga)</w:t>
      </w:r>
    </w:p>
    <w:p>
      <w:pPr>
        <w:spacing w:after="100"/>
        <w:ind w:left="425"/>
      </w:pPr>
      <w:r>
        <w:rPr>
          <w:rFonts w:ascii="Arial" w:hAnsi="Arial"/>
          <w:b/>
          <w:color w:val="0D2240"/>
          <w:sz w:val="22"/>
        </w:rPr>
        <w:t xml:space="preserve">□  </w:t>
      </w:r>
      <w:r>
        <w:rPr>
          <w:rFonts w:ascii="Arial" w:hAnsi="Arial"/>
          <w:b w:val="0"/>
          <w:sz w:val="22"/>
        </w:rPr>
        <w:t>Entender o protocolo de importação (staging + validação)</w:t>
      </w:r>
    </w:p>
    <w:p>
      <w:pPr>
        <w:spacing w:after="100"/>
        <w:ind w:left="425"/>
      </w:pPr>
      <w:r>
        <w:rPr>
          <w:rFonts w:ascii="Arial" w:hAnsi="Arial"/>
          <w:b/>
          <w:color w:val="0D2240"/>
          <w:sz w:val="22"/>
        </w:rPr>
        <w:t xml:space="preserve">□  </w:t>
      </w:r>
      <w:r>
        <w:rPr>
          <w:rFonts w:ascii="Arial" w:hAnsi="Arial"/>
          <w:b w:val="0"/>
          <w:sz w:val="22"/>
        </w:rPr>
        <w:t>Aplicar a purificação linguística em qualquer texto visível</w:t>
      </w:r>
    </w:p>
    <w:p>
      <w:pPr>
        <w:spacing w:after="100"/>
        <w:ind w:left="425"/>
      </w:pPr>
      <w:r>
        <w:rPr>
          <w:rFonts w:ascii="Arial" w:hAnsi="Arial"/>
          <w:b/>
          <w:color w:val="0D2240"/>
          <w:sz w:val="22"/>
        </w:rPr>
        <w:t xml:space="preserve">□  </w:t>
      </w:r>
      <w:r>
        <w:rPr>
          <w:rFonts w:ascii="Arial" w:hAnsi="Arial"/>
          <w:b w:val="0"/>
          <w:sz w:val="22"/>
        </w:rPr>
        <w:t>Primeira contribuição: tarefa pequena guiada, seguindo o fluxo de PR</w:t>
      </w:r>
    </w:p>
    <w:p>
      <w:pPr>
        <w:pStyle w:val="Heading1"/>
        <w:spacing w:before="0" w:after="160"/>
        <w:jc w:val="both"/>
      </w:pPr>
      <w:r>
        <w:rPr>
          <w:rFonts w:ascii="Arial" w:hAnsi="Arial"/>
          <w:b w:val="0"/>
          <w:sz w:val="22"/>
        </w:rPr>
        <w:t>10. REFERÊNCIAS DO PROJETO</w:t>
      </w:r>
    </w:p>
    <w:p>
      <w:pPr>
        <w:spacing w:before="0" w:after="160"/>
        <w:jc w:val="both"/>
      </w:pPr>
      <w:r>
        <w:rPr>
          <w:rFonts w:ascii="Arial" w:hAnsi="Arial"/>
          <w:b w:val="0"/>
          <w:sz w:val="22"/>
        </w:rPr>
        <w:t>Documentos e artefatos canônicos citados neste material: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PROA-REGRAS-V2-001 — fonte canônica do método;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PROA-SCHEMA-V2-001 — schema do banco (10 tabelas, 5 enums, Item × Norma N:N);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PROA-BIBLIOTECA-NORMATIVA-V2.xlsx — 48 normas (NB-001 a NB-048);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PROA-PREENCHIMENTO-BIBLIOTECA-V2.xlsx — 48/48 VALIDADO (14/10/2026);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PROA-SEED-ITENS-V2.xlsx + 3 CSVs — fontes de seed da Onda 1;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PROA-INVENTARIO-CARGA-V2.xlsx — ondas de carga (Onda 2 FECHADA);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PROA-CONTROLE-VENCIMENTOS-V2.xlsx — vencimentos 90/60/30 (VEN-XXX);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PROA-REF-ITENS-V2-CORR-001 — purificação B01-B05.</w:t>
      </w:r>
    </w:p>
    <w:p>
      <w:pPr>
        <w:spacing w:before="120" w:after="160"/>
        <w:jc w:val="both"/>
      </w:pPr>
      <w:r>
        <w:rPr>
          <w:rFonts w:ascii="Arial" w:hAnsi="Arial"/>
          <w:b w:val="0"/>
          <w:sz w:val="22"/>
        </w:rPr>
        <w:t>Dúvida de método: consulte o PROA-REGRAS-V2-001. Dúvida de estrutura: consulte o PROA-SCHEMA-V2-001. Bom desenvolvimento.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95959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X</w:t>
    </w:r>
    <w:r>
      <w:fldChar w:fldCharType="end"/>
    </w:r>
    <w:r>
      <w:rPr>
        <w:rFonts w:ascii="Arial" w:hAnsi="Arial"/>
        <w:b w:val="0"/>
        <w:color w:val="595959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Y</w:t>
    </w:r>
    <w:r>
      <w:fldChar w:fldCharType="end"/>
    </w:r>
    <w:r>
      <w:rPr>
        <w:rFonts w:ascii="Arial" w:hAnsi="Arial"/>
        <w:b w:val="0"/>
        <w:color w:val="595959"/>
        <w:sz w:val="18"/>
      </w:rPr>
      <w:t xml:space="preserve">   |   14/10/2026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4" w:color="0D2240"/>
      </w:pBdr>
    </w:pPr>
    <w:r>
      <w:rPr>
        <w:rFonts w:ascii="Arial" w:hAnsi="Arial"/>
        <w:b/>
        <w:color w:val="0D2240"/>
        <w:sz w:val="18"/>
      </w:rPr>
      <w:t>PROA-DEV-INICIACAO-001 — METODOLOGIA PROA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595959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595959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D224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PROA-DEV-INICIACAO-001 — Material de Iniciação para Desenvolvedores</dc:title>
  <dc:subject>Metodologia PROA V2.0</dc:subject>
  <dc:creator>Projeto PROA — Governança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