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Associações e Condomínios — Fundamentos, História e o Papel na Governança Local</w:t>
      </w:r>
    </w:p>
    <w:p>
      <w:r>
        <w:rPr>
          <w:b/>
          <w:sz w:val="22"/>
        </w:rPr>
        <w:t>DOCUMENTO DE GOVERNANÇA — MATERIAL INSTITUCIONAL</w:t>
      </w:r>
    </w:p>
    <w:p>
      <w:pPr>
        <w:pStyle w:val="Heading1"/>
      </w:pPr>
      <w:r>
        <w:rPr>
          <w:rFonts w:ascii="Arial" w:hAnsi="Arial"/>
        </w:rPr>
        <w:t>Introdução / Apresentação</w:t>
      </w:r>
    </w:p>
    <w:p>
      <w:r>
        <w:rPr>
          <w:rFonts w:ascii="Arial" w:hAnsi="Arial"/>
        </w:rPr>
        <w:t>Este documento é um material institucional-educativo da Metodologia PROA. O seu objetivo é explicar, de forma clara e formativa, por que existem associações de moradores e condomínios, contar a sua história, apresentar o seu fundamento jurídico e mostrar a função que desempenham ao complementar o Estado — a União, os Estados e os Municípios. Onde o poder público não alcança, a organização local cobre deficiências e dá providências, transformando problemas comuns em soluções coletivas.</w:t>
      </w:r>
    </w:p>
    <w:p>
      <w:pPr>
        <w:pStyle w:val="Heading1"/>
      </w:pPr>
      <w:r>
        <w:rPr>
          <w:rFonts w:ascii="Arial" w:hAnsi="Arial"/>
        </w:rPr>
        <w:t>Seção 1 — A Origem da Necessidade</w:t>
      </w:r>
    </w:p>
    <w:p>
      <w:r>
        <w:rPr>
          <w:rFonts w:ascii="Arial" w:hAnsi="Arial"/>
        </w:rPr>
        <w:t>A vida em comum pede organização. Viver em comunidade gera bens compartilhados — áreas comuns e espaços de uso coletivo —, interesses comuns — como segurança e manutenção — e convivência, que exige regras e decisões coletivas. Onde há problemas comuns, as pessoas se organizam. É dessa necessidade prática que nascem as associações de moradores e os condomínios.</w:t>
      </w:r>
    </w:p>
    <w:p>
      <w:pPr>
        <w:pStyle w:val="Heading1"/>
      </w:pPr>
      <w:r>
        <w:rPr>
          <w:rFonts w:ascii="Arial" w:hAnsi="Arial"/>
        </w:rPr>
        <w:t>Seção 2 — História e Fundamento das Associações</w:t>
      </w:r>
    </w:p>
    <w:p>
      <w:r>
        <w:rPr>
          <w:rFonts w:ascii="Arial" w:hAnsi="Arial"/>
        </w:rPr>
        <w:t>A liberdade de associação é um direito fundamental garantido pela Constituição Federal de 1988, em seu artigo 5º, incisos XVII a XXI. As associações são regidas pelo Código Civil, nos artigos 53 a 61: criadas por estatuto, com fins não econômicos e tendo a assembleia como órgão soberano. No Brasil, as associações de moradores cresceram com a urbanização e o desenvolvimento dos loteamentos.</w:t>
      </w:r>
    </w:p>
    <w:p>
      <w:pPr>
        <w:pStyle w:val="Heading1"/>
      </w:pPr>
      <w:r>
        <w:rPr>
          <w:rFonts w:ascii="Arial" w:hAnsi="Arial"/>
        </w:rPr>
        <w:t>Seção 3 — História e Fundamento dos Condomínios</w:t>
      </w:r>
    </w:p>
    <w:p>
      <w:r>
        <w:rPr>
          <w:rFonts w:ascii="Arial" w:hAnsi="Arial"/>
        </w:rPr>
        <w:t>O condomínio tem raiz no direito romano, na ideia de propriedade coletiva. O condomínio edilício moderno combina unidades autônomas a áreas comuns. No Brasil, foi disciplinado pela Lei 4.591/64, que trata do condomínio em edificações, e pelo Código Civil de 2002, nos artigos 1.331 a 1.358. Esse marco jurídico define a convenção, a assembleia, a taxa condominial — uma cota propter rem, obrigação vinculada à unidade — e os deveres dos condôminos.</w:t>
      </w:r>
    </w:p>
    <w:p>
      <w:pPr>
        <w:pStyle w:val="Heading1"/>
      </w:pPr>
      <w:r>
        <w:rPr>
          <w:rFonts w:ascii="Arial" w:hAnsi="Arial"/>
        </w:rPr>
        <w:t>Seção 4 — Loteamentos e a Associação de Moradores</w:t>
      </w:r>
    </w:p>
    <w:p>
      <w:r>
        <w:rPr>
          <w:rFonts w:ascii="Arial" w:hAnsi="Arial"/>
        </w:rPr>
        <w:t>A Lei 6.766/79 disciplina o parcelamento do solo urbano. Entre os loteamentos fechados e os condomínios de lotes, a associação de moradores surge como ente de gestão local — cuidando de vias, segurança e áreas comuns — quando o poder público não assume esses serviços. É a organização da vizinhança suprindo uma carência concreta do território.</w:t>
      </w:r>
    </w:p>
    <w:p>
      <w:pPr>
        <w:pStyle w:val="Heading1"/>
      </w:pPr>
      <w:r>
        <w:rPr>
          <w:rFonts w:ascii="Arial" w:hAnsi="Arial"/>
        </w:rPr>
        <w:t>Seção 5 — Onde o Estado Não Chega</w:t>
      </w:r>
    </w:p>
    <w:p>
      <w:r>
        <w:rPr>
          <w:rFonts w:ascii="Arial" w:hAnsi="Arial"/>
        </w:rPr>
        <w:t>A escala importa. O poder público tem limites estruturais: a capilaridade — não acompanha cada necessidade de cada rua; a agilidade — algumas providências exigem resposta imediata; e a especificidade — uma lei municipal não resolve a manutenção do portão da rua. É exatamente nesse espaço, onde o Estado não alcança, que a organização local pode agir com rapidez e precisão.</w:t>
      </w:r>
    </w:p>
    <w:p>
      <w:pPr>
        <w:pStyle w:val="Heading1"/>
      </w:pPr>
      <w:r>
        <w:rPr>
          <w:rFonts w:ascii="Arial" w:hAnsi="Arial"/>
        </w:rPr>
        <w:t>Seção 6 — A Analogia Central — A Federação em Miniatura</w:t>
      </w:r>
    </w:p>
    <w:p>
      <w:r>
        <w:rPr>
          <w:rFonts w:ascii="Arial" w:hAnsi="Arial"/>
        </w:rPr>
        <w:t>Podemos entender condomínios e associações como uma federação em miniatura. Na esfera macro estão a União, os Estados e os Municípios — a governança pública. Na esfera micro estão o condomínio e a associação — o autogoverno local. A convenção ou o estatuto funciona como uma espécie de constituição local, que organiza a vida comum dentro da lei. Aplica-se aqui o princípio da subsidiariedade: o que a comunidade local consegue resolver não precisa subir à esfera maior.</w:t>
      </w:r>
    </w:p>
    <w:p>
      <w:pPr>
        <w:pStyle w:val="Heading1"/>
      </w:pPr>
      <w:r>
        <w:rPr>
          <w:rFonts w:ascii="Arial" w:hAnsi="Arial"/>
        </w:rPr>
        <w:t>Seção 7 — O “Legislativo Local”: Assembleia Geral</w:t>
      </w:r>
    </w:p>
    <w:p>
      <w:r>
        <w:rPr>
          <w:rFonts w:ascii="Arial" w:hAnsi="Arial"/>
        </w:rPr>
        <w:t>A assembleia geral é o órgão soberano da entidade: ela delibera e cria regras internas, aprova o orçamento e aprecia as prestações de contas. É o nosso “legislativo local” — assim como um parlamento decide as regras comuns, a assembleia constrói e atualiza a convenção ou o estatuto que rege a vida em comum.</w:t>
      </w:r>
    </w:p>
    <w:p>
      <w:pPr>
        <w:pStyle w:val="Heading1"/>
      </w:pPr>
      <w:r>
        <w:rPr>
          <w:rFonts w:ascii="Arial" w:hAnsi="Arial"/>
        </w:rPr>
        <w:t>Seção 8 — O “Executivo Local”: Dirigente e Diretoria</w:t>
      </w:r>
    </w:p>
    <w:p>
      <w:r>
        <w:rPr>
          <w:rFonts w:ascii="Arial" w:hAnsi="Arial"/>
        </w:rPr>
        <w:t>O dirigente — o síndico no condomínio, o presidente na associação — e a diretoria executam as deliberações da assembleia, administram os recursos e representam a entidade. O mandato é temporário e há prestação de contas periódica. É a analogia com o Executivo estadual ou municipal: um governo local que administra em nome da comunidade.</w:t>
      </w:r>
    </w:p>
    <w:p>
      <w:pPr>
        <w:pStyle w:val="Heading1"/>
      </w:pPr>
      <w:r>
        <w:rPr>
          <w:rFonts w:ascii="Arial" w:hAnsi="Arial"/>
        </w:rPr>
        <w:t>Seção 9 — O “Controle Local”: Conselhos e Ritos Internos</w:t>
      </w:r>
    </w:p>
    <w:p>
      <w:r>
        <w:rPr>
          <w:rFonts w:ascii="Arial" w:hAnsi="Arial"/>
        </w:rPr>
        <w:t>O controle local é exercido pelo conselho consultivo ou fiscal, que acompanha a gestão. Comissões e o diálogo previnem conflitos, e os ritos internos oferecem uma instância recursal local — uma forma de justiça de vizinhança que, sem substituir o Judiciário, resolve uma parte das controvérsias do cotidiano.</w:t>
      </w:r>
    </w:p>
    <w:p>
      <w:pPr>
        <w:pStyle w:val="Heading1"/>
      </w:pPr>
      <w:r>
        <w:rPr>
          <w:rFonts w:ascii="Arial" w:hAnsi="Arial"/>
        </w:rPr>
        <w:t>Seção 10 — O Estado Como Moldura</w:t>
      </w:r>
    </w:p>
    <w:p>
      <w:r>
        <w:rPr>
          <w:rFonts w:ascii="Arial" w:hAnsi="Arial"/>
        </w:rPr>
        <w:t>A autonomia local existe dentro de limites legais. A esfera macro regula: o Código Civil, a legislação municipal de posturas e licenciamento, e as normas de segurança e acessibilidade. A convenção e o estatuto não podem contrariar a legislação. As competências exclusivas do Estado — o poder de polícia, a saúde pública, a educação — permanecem com o Estado. Uma boa governança local exige escuta democrática, transparência, atas, contas e acompanhamento orientativo.</w:t>
      </w:r>
    </w:p>
    <w:p>
      <w:pPr>
        <w:pStyle w:val="Heading1"/>
      </w:pPr>
      <w:r>
        <w:rPr>
          <w:rFonts w:ascii="Arial" w:hAnsi="Arial"/>
        </w:rPr>
        <w:t>Seção 11 — Conclusão — Da Casa ao Município</w:t>
      </w:r>
    </w:p>
    <w:p>
      <w:r>
        <w:rPr>
          <w:rFonts w:ascii="Arial" w:hAnsi="Arial"/>
        </w:rPr>
        <w:t>Associações e condomínios são escolas de cidadania e instrumentos de providência local. Garantem capilaridade, porque conhecem cada rua e unidade; agilidade, com respostas próximas; especificidade, com soluções sob medida; complementaridade, na manutenção, segurança, zeladoria e convivência; e pertencimento, ao cultivar a cidadania ativa. Bem organizados, completam o Estado e elevam a qualidade de vida — da casa ao município. Encerramos com a chamada PROA: “Organizar · Preservar · Evoluir.”</w:t>
      </w:r>
    </w:p>
    <w:p>
      <w:pPr>
        <w:pStyle w:val="Heading1"/>
      </w:pPr>
      <w:r>
        <w:rPr>
          <w:rFonts w:ascii="Arial" w:hAnsi="Arial"/>
        </w:rPr>
        <w:t>Seção Final — Referências Normativas</w:t>
      </w:r>
    </w:p>
    <w:p>
      <w:pPr>
        <w:pStyle w:val="ListBullet"/>
      </w:pPr>
      <w:r>
        <w:t>Constituição Federal/1988 (art. 5º, XVII-XXI);</w:t>
      </w:r>
    </w:p>
    <w:p>
      <w:pPr>
        <w:pStyle w:val="ListBullet"/>
      </w:pPr>
      <w:r>
        <w:t>Código Civil/2002 (arts. 53-61 — associações);</w:t>
      </w:r>
    </w:p>
    <w:p>
      <w:pPr>
        <w:pStyle w:val="ListBullet"/>
      </w:pPr>
      <w:r>
        <w:t>Código Civil/2002 (arts. 1.331-1.358 — condomínio edilício);</w:t>
      </w:r>
    </w:p>
    <w:p>
      <w:pPr>
        <w:pStyle w:val="ListBullet"/>
      </w:pPr>
      <w:r>
        <w:t>Lei 4.591/64 (condomínio em edificações);</w:t>
      </w:r>
    </w:p>
    <w:p>
      <w:pPr>
        <w:pStyle w:val="ListBullet"/>
      </w:pPr>
      <w:r>
        <w:t>Lei 6.766/79 (parcelamento do solo urbano);</w:t>
      </w:r>
    </w:p>
    <w:p>
      <w:pPr>
        <w:pStyle w:val="ListBullet"/>
      </w:pPr>
      <w:r>
        <w:t>Lei 13.709/2018 (LGPD — governança de dados, transversal).</w:t>
      </w:r>
    </w:p>
    <w:p>
      <w:r>
        <w:rPr>
          <w:rFonts w:ascii="Arial" w:hAnsi="Arial"/>
        </w:rPr>
        <w:t>Observação final: este documento é material educativo e institucional; a aplicação concreta depende das regras específicas de cada entidade e da legislação local vigente.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r>
      <w:rPr>
        <w:sz w:val="18"/>
      </w:rPr>
      <w:t xml:space="preserve">PROA-APRESENTACAO-FUNDAMENTOS-001 — 13/10/2026 — 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b/>
        <w:sz w:val="20"/>
      </w:rPr>
      <w:t>PROA-APRESENTACAO-FUNDAMENTOS-001 — METODOLOGIA PROA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pdateFields w:val="true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