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availability</w:t>
      </w:r>
    </w:p>
    <w:p>
      <w:r>
        <w:t>All execution traces, evaluator records and analysis-history snapshots analysed in this study are publicly available from the Hugging Face dataset goeckslab/galaxy-agent-benchmark-run-traces (https://huggingface.co/datasets/goeckslab/galaxy-agent-benchmark-run-traces; revision main, retrieved 20–23 September 2026). Every retrieved file is recorded with its original SHA-256 hash in the per-task snapshot manifests of the analysis repository. [Authors: before submission, replace "revision main" with a fixed commit hash or a DOI-minted release, so that the archive cannot change after publication.]</w:t>
      </w:r>
    </w:p>
    <w:p>
      <w:r>
        <w:t>Source Data are provided with this paper for Figs. 1–5 and Extended Data Figs. 1–5 (one Excel workbook per figure, one sheet per panel).</w:t>
      </w:r>
    </w:p>
    <w:p>
      <w:r>
        <w:t>Supplementary Tables 1–67 and Supplementary Data 1–3 contain:</w:t>
      </w:r>
    </w:p>
    <w:p>
      <w:pPr>
        <w:pStyle w:val="ListBullet"/>
      </w:pPr>
      <w:r>
        <w:t>per-run summaries of all 4,240 runs;</w:t>
      </w:r>
    </w:p>
    <w:p>
      <w:pPr>
        <w:pStyle w:val="ListBullet"/>
      </w:pPr>
      <w:r>
        <w:t>all 7,389 failed Galaxy interface calls, with their cause, error text and arguments;</w:t>
      </w:r>
    </w:p>
    <w:p>
      <w:pPr>
        <w:pStyle w:val="ListBullet"/>
      </w:pPr>
      <w:r>
        <w:t>2,085 parameter substitutions with a replaced value;</w:t>
      </w:r>
    </w:p>
    <w:p>
      <w:pPr>
        <w:pStyle w:val="ListBullet"/>
      </w:pPr>
      <w:r>
        <w:t>the failure ledger for all 254 adjudicated runs.</w:t>
      </w:r>
    </w:p>
    <w:p>
      <w:r>
        <w:t>Reference answers of the benchmark tasks are omitted from the Supplementary Data to limit benchmark contamination; they remain available in the evaluator records of the source archive.</w:t>
      </w:r>
    </w:p>
    <w:p>
      <w:r>
        <w:t>Benchmarks:</w:t>
      </w:r>
    </w:p>
    <w:p>
      <w:pPr>
        <w:pStyle w:val="ListBullet"/>
      </w:pPr>
      <w:r>
        <w:t>BixBench-Verified-50 [ref];</w:t>
      </w:r>
    </w:p>
    <w:p>
      <w:pPr>
        <w:pStyle w:val="ListBullet"/>
      </w:pPr>
      <w:r>
        <w:t>CompBioBench [ref];</w:t>
      </w:r>
    </w:p>
    <w:p>
      <w:pPr>
        <w:pStyle w:val="ListBullet"/>
      </w:pPr>
      <w:r>
        <w:t>the Intergalactic Workflow Commission (IWC) collection of curated Galaxy workflows (https://iwc.galaxyproject.org) [ref].</w:t>
      </w:r>
    </w:p>
    <w:p>
      <w:r>
        <w:t>All Galaxy jobs ran on the public usegalaxy.org server.</w:t>
      </w:r>
    </w:p>
    <w:p>
      <w:r>
        <w:t xml:space="preserve">The independent mitogenome comparison used the </w:t>
      </w:r>
      <w:r>
        <w:rPr>
          <w:i/>
        </w:rPr>
        <w:t>Agrius convolvuli</w:t>
      </w:r>
      <w:r>
        <w:t xml:space="preserve"> mitochondrial genome, accession OZ203683.1 (INSDC).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