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SECRETARIA DA EDUCAÇÃO DO ESTADO DO CEARÁ – SEDUC/CE</w:t>
      </w:r>
    </w:p>
    <w:p>
      <w:pPr>
        <w:jc w:val="center"/>
      </w:pPr>
      <w:r>
        <w:rPr>
          <w:rFonts w:ascii="Arial" w:hAnsi="Arial"/>
          <w:b/>
          <w:sz w:val="22"/>
        </w:rPr>
        <w:t>CEARÁ CIENTÍFICO 2026</w:t>
      </w:r>
    </w:p>
    <w:p>
      <w:pPr>
        <w:jc w:val="center"/>
      </w:pPr>
      <w:r>
        <w:rPr>
          <w:rFonts w:ascii="Arial" w:hAnsi="Arial"/>
          <w:b/>
          <w:sz w:val="22"/>
        </w:rPr>
        <w:t>EEMPC FRANCISCO ARAÚJO BARROS</w:t>
      </w:r>
    </w:p>
    <w:p>
      <w:pPr>
        <w:jc w:val="center"/>
      </w:pPr>
      <w:r>
        <w:rPr>
          <w:rFonts w:ascii="Arial" w:hAnsi="Arial"/>
          <w:b/>
          <w:sz w:val="22"/>
        </w:rPr>
        <w:t>CURSO TÉCNICO EM INFORMÁTICA</w:t>
      </w:r>
    </w:p>
    <w:p/>
    <w:p>
      <w:pPr>
        <w:jc w:val="center"/>
      </w:pPr>
      <w:r>
        <w:rPr>
          <w:rFonts w:ascii="Arial" w:hAnsi="Arial"/>
          <w:b/>
          <w:color w:val="174726"/>
          <w:sz w:val="32"/>
        </w:rPr>
        <w:t>PORTAL DIGITAL DA COMUNIDADE: TECNOLOGIA EDUCACIONAL PARA MEMÓRIA, SABERES DO CAMPO E INCLUSÃO DIGITAL</w:t>
      </w:r>
    </w:p>
    <w:p>
      <w:pPr>
        <w:jc w:val="center"/>
      </w:pPr>
      <w:r>
        <w:rPr>
          <w:rFonts w:ascii="Arial" w:hAnsi="Arial"/>
          <w:sz w:val="22"/>
        </w:rPr>
        <w:t>Autores: Kauemberg Azevedo de Sousa; João Lucas da Silva Ferreira</w:t>
      </w:r>
    </w:p>
    <w:p>
      <w:pPr>
        <w:jc w:val="center"/>
      </w:pPr>
      <w:r>
        <w:rPr>
          <w:rFonts w:ascii="Arial" w:hAnsi="Arial"/>
          <w:sz w:val="22"/>
        </w:rPr>
        <w:t>Professor orientador: Paulo Henrique Gomes Cordeiro da Cunha</w:t>
      </w:r>
    </w:p>
    <w:p>
      <w:pPr>
        <w:jc w:val="center"/>
      </w:pPr>
      <w:r>
        <w:rPr>
          <w:rFonts w:ascii="Arial" w:hAnsi="Arial"/>
          <w:sz w:val="22"/>
        </w:rPr>
        <w:t>Município/CREDE: Itarema – CREDE 3</w:t>
      </w:r>
    </w:p>
    <w:p>
      <w:pPr>
        <w:jc w:val="center"/>
      </w:pPr>
      <w:r>
        <w:rPr>
          <w:rFonts w:ascii="Arial" w:hAnsi="Arial"/>
          <w:sz w:val="22"/>
        </w:rPr>
        <w:t>Categoria: II – Ensino Médio: Ações Afirmativas e CEJAs EM | Escola do Campo</w:t>
      </w:r>
    </w:p>
    <w:p>
      <w:pPr>
        <w:jc w:val="center"/>
      </w:pPr>
      <w:r>
        <w:rPr>
          <w:rFonts w:ascii="Arial" w:hAnsi="Arial"/>
          <w:sz w:val="22"/>
        </w:rPr>
        <w:t>Área de pesquisa: Robótica, Automação e Aplicação das TIC</w:t>
      </w:r>
    </w:p>
    <w:p>
      <w:pPr>
        <w:jc w:val="center"/>
      </w:pPr>
      <w:r>
        <w:rPr>
          <w:rFonts w:ascii="Arial" w:hAnsi="Arial"/>
          <w:sz w:val="22"/>
        </w:rPr>
        <w:t>Eixos sugeridos: Educação para a Cidadania; Comunicação, Mídia e Democracia</w:t>
      </w:r>
    </w:p>
    <w:p>
      <w:pPr>
        <w:jc w:val="center"/>
      </w:pPr>
      <w:r>
        <w:rPr>
          <w:rFonts w:ascii="Arial" w:hAnsi="Arial"/>
          <w:sz w:val="22"/>
        </w:rPr>
        <w:t>Produto: portal web educacional publicado no GitHub Pages</w:t>
      </w:r>
    </w:p>
    <w:p>
      <w:pPr>
        <w:jc w:val="center"/>
      </w:pPr>
      <w:r>
        <w:rPr>
          <w:rFonts w:ascii="Arial" w:hAnsi="Arial"/>
          <w:sz w:val="22"/>
        </w:rPr>
        <w:t>URL: https://paulocunha1009.github.io/Portal-da-Comunidade/index.html</w:t>
      </w:r>
    </w:p>
    <w:p>
      <w:pPr>
        <w:jc w:val="center"/>
      </w:pPr>
      <w:r>
        <w:rPr>
          <w:b/>
        </w:rPr>
        <w:t>Itarema – Ceará</w:t>
        <w:br/>
        <w:t>2026</w:t>
      </w:r>
    </w:p>
    <w:p>
      <w:r>
        <w:br w:type="page"/>
      </w:r>
    </w:p>
    <w:p>
      <w:pPr>
        <w:pStyle w:val="Heading1"/>
      </w:pPr>
      <w:r>
        <w:t>Enquadramento no Ceará Científico 2026</w:t>
      </w:r>
    </w:p>
    <w:p>
      <w:pPr>
        <w:jc w:val="both"/>
      </w:pPr>
      <w:r>
        <w:t>Conforme o Regulamento Ceará Científico 2026, a inscrição deve indicar categoria, área de pesquisa e, quando pertinente, eixos temáticos. O enquadramento mais adequado para o projeto é a área Robótica, Automação e Aplicação das TIC, prevista no Anexo I para projetos relacionados ao desenvolvimento de softwares e à criação, compreensão, utilização e aplicação crítica, significativa, reflexiva e ética das Tecnologias da Informação e da Comunicação. O produto central desta pesquisa é justamente uma tecnologia digital desenvolvida por estudantes: um portal web com HTML, CSS, JavaScript, conteúdo dinâmico, acessibilidade, publicação em GitHub Pages e arquitetura para integração segura com inteligência artificial.</w:t>
      </w:r>
    </w:p>
    <w:p>
      <w:pPr>
        <w:jc w:val="both"/>
      </w:pPr>
      <w:r>
        <w:t>A categoria indicada é II – Ensino Médio: Ações Afirmativas e CEJAs EM, pois o edital inclui nessa categoria as Escolas do Campo. Como eixos temáticos sugeridos, o projeto dialoga especialmente com Educação para a Cidadania e Comunicação, Mídia e Democracia, já que utiliza tecnologia para fortalecer participação estudantil, memória comunitária, acesso público à informação, convivência democrática e valorização do território rural.</w:t>
      </w:r>
    </w:p>
    <w:p>
      <w:pPr>
        <w:pStyle w:val="Heading1"/>
      </w:pPr>
      <w:r>
        <w:t>Conferência dos elementos do projeto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855"/>
            <w:vAlign w:val="center"/>
            <w:shd w:fill="EAF2EA"/>
          </w:tcPr>
          <w:p>
            <w:pPr>
              <w:jc w:val="left"/>
            </w:pPr>
            <w:r/>
            <w:r>
              <w:rPr>
                <w:rFonts w:ascii="Arial" w:hAnsi="Arial"/>
                <w:b/>
                <w:sz w:val="18"/>
              </w:rPr>
              <w:t>Tópico</w:t>
            </w:r>
          </w:p>
        </w:tc>
        <w:tc>
          <w:tcPr>
            <w:tcW w:type="dxa" w:w="1247"/>
            <w:vAlign w:val="center"/>
            <w:shd w:fill="EAF2EA"/>
          </w:tcPr>
          <w:p>
            <w:pPr>
              <w:jc w:val="center"/>
            </w:pPr>
            <w:r/>
            <w:r>
              <w:rPr>
                <w:rFonts w:ascii="Arial" w:hAnsi="Arial"/>
                <w:b/>
                <w:sz w:val="18"/>
              </w:rPr>
              <w:t>Mínimo</w:t>
            </w:r>
          </w:p>
        </w:tc>
        <w:tc>
          <w:tcPr>
            <w:tcW w:type="dxa" w:w="1247"/>
            <w:vAlign w:val="center"/>
            <w:shd w:fill="EAF2EA"/>
          </w:tcPr>
          <w:p>
            <w:pPr>
              <w:jc w:val="center"/>
            </w:pPr>
            <w:r/>
            <w:r>
              <w:rPr>
                <w:rFonts w:ascii="Arial" w:hAnsi="Arial"/>
                <w:b/>
                <w:sz w:val="18"/>
              </w:rPr>
              <w:t>Máximo</w:t>
            </w:r>
          </w:p>
        </w:tc>
        <w:tc>
          <w:tcPr>
            <w:tcW w:type="dxa" w:w="2324"/>
            <w:vAlign w:val="center"/>
            <w:shd w:fill="EAF2EA"/>
          </w:tcPr>
          <w:p>
            <w:pPr>
              <w:jc w:val="center"/>
            </w:pPr>
            <w:r/>
            <w:r>
              <w:rPr>
                <w:rFonts w:ascii="Arial" w:hAnsi="Arial"/>
                <w:b/>
                <w:sz w:val="18"/>
              </w:rPr>
              <w:t>Quantidade nesta versão</w:t>
            </w:r>
          </w:p>
        </w:tc>
      </w:tr>
      <w:tr>
        <w:tc>
          <w:tcPr>
            <w:tcW w:type="dxa" w:w="3855"/>
            <w:vAlign w:val="center"/>
          </w:tcPr>
          <w:p>
            <w:pPr>
              <w:jc w:val="left"/>
            </w:pPr>
            <w:r/>
            <w:r>
              <w:rPr>
                <w:rFonts w:ascii="Arial" w:hAnsi="Arial"/>
                <w:b w:val="0"/>
                <w:sz w:val="18"/>
              </w:rPr>
              <w:t>Título</w:t>
            </w:r>
          </w:p>
        </w:tc>
        <w:tc>
          <w:tcPr>
            <w:tcW w:type="dxa" w:w="1247"/>
            <w:vAlign w:val="center"/>
          </w:tcPr>
          <w:p>
            <w:pPr>
              <w:jc w:val="center"/>
            </w:pPr>
            <w:r/>
            <w:r>
              <w:rPr>
                <w:rFonts w:ascii="Arial" w:hAnsi="Arial"/>
                <w:b w:val="0"/>
                <w:sz w:val="18"/>
              </w:rPr>
              <w:t>1</w:t>
            </w:r>
          </w:p>
        </w:tc>
        <w:tc>
          <w:tcPr>
            <w:tcW w:type="dxa" w:w="1247"/>
            <w:vAlign w:val="center"/>
          </w:tcPr>
          <w:p>
            <w:pPr>
              <w:jc w:val="center"/>
            </w:pPr>
            <w:r/>
            <w:r>
              <w:rPr>
                <w:rFonts w:ascii="Arial" w:hAnsi="Arial"/>
                <w:b w:val="0"/>
                <w:sz w:val="18"/>
              </w:rPr>
              <w:t>40</w:t>
            </w:r>
          </w:p>
        </w:tc>
        <w:tc>
          <w:tcPr>
            <w:tcW w:type="dxa" w:w="2324"/>
            <w:vAlign w:val="center"/>
          </w:tcPr>
          <w:p>
            <w:pPr>
              <w:jc w:val="center"/>
            </w:pPr>
            <w:r/>
            <w:r>
              <w:rPr>
                <w:rFonts w:ascii="Arial" w:hAnsi="Arial"/>
                <w:b w:val="0"/>
                <w:sz w:val="18"/>
              </w:rPr>
              <w:t>14</w:t>
            </w:r>
          </w:p>
        </w:tc>
      </w:tr>
      <w:tr>
        <w:tc>
          <w:tcPr>
            <w:tcW w:type="dxa" w:w="3855"/>
            <w:vAlign w:val="center"/>
          </w:tcPr>
          <w:p>
            <w:pPr>
              <w:jc w:val="left"/>
            </w:pPr>
            <w:r/>
            <w:r>
              <w:rPr>
                <w:rFonts w:ascii="Arial" w:hAnsi="Arial"/>
                <w:b w:val="0"/>
                <w:sz w:val="18"/>
              </w:rPr>
              <w:t>Autores</w:t>
            </w:r>
          </w:p>
        </w:tc>
        <w:tc>
          <w:tcPr>
            <w:tcW w:type="dxa" w:w="1247"/>
            <w:vAlign w:val="center"/>
          </w:tcPr>
          <w:p>
            <w:pPr>
              <w:jc w:val="center"/>
            </w:pPr>
            <w:r/>
            <w:r>
              <w:rPr>
                <w:rFonts w:ascii="Arial" w:hAnsi="Arial"/>
                <w:b w:val="0"/>
                <w:sz w:val="18"/>
              </w:rPr>
              <w:t>1</w:t>
            </w:r>
          </w:p>
        </w:tc>
        <w:tc>
          <w:tcPr>
            <w:tcW w:type="dxa" w:w="1247"/>
            <w:vAlign w:val="center"/>
          </w:tcPr>
          <w:p>
            <w:pPr>
              <w:jc w:val="center"/>
            </w:pPr>
            <w:r/>
            <w:r>
              <w:rPr>
                <w:rFonts w:ascii="Arial" w:hAnsi="Arial"/>
                <w:b w:val="0"/>
                <w:sz w:val="18"/>
              </w:rPr>
              <w:t>50</w:t>
            </w:r>
          </w:p>
        </w:tc>
        <w:tc>
          <w:tcPr>
            <w:tcW w:type="dxa" w:w="2324"/>
            <w:vAlign w:val="center"/>
          </w:tcPr>
          <w:p>
            <w:pPr>
              <w:jc w:val="center"/>
            </w:pPr>
            <w:r/>
            <w:r>
              <w:rPr>
                <w:rFonts w:ascii="Arial" w:hAnsi="Arial"/>
                <w:b w:val="0"/>
                <w:sz w:val="18"/>
              </w:rPr>
              <w:t>9</w:t>
            </w:r>
          </w:p>
        </w:tc>
      </w:tr>
      <w:tr>
        <w:tc>
          <w:tcPr>
            <w:tcW w:type="dxa" w:w="3855"/>
            <w:vAlign w:val="center"/>
          </w:tcPr>
          <w:p>
            <w:pPr>
              <w:jc w:val="left"/>
            </w:pPr>
            <w:r/>
            <w:r>
              <w:rPr>
                <w:rFonts w:ascii="Arial" w:hAnsi="Arial"/>
                <w:b w:val="0"/>
                <w:sz w:val="18"/>
              </w:rPr>
              <w:t>Resumo</w:t>
            </w:r>
          </w:p>
        </w:tc>
        <w:tc>
          <w:tcPr>
            <w:tcW w:type="dxa" w:w="1247"/>
            <w:vAlign w:val="center"/>
          </w:tcPr>
          <w:p>
            <w:pPr>
              <w:jc w:val="center"/>
            </w:pPr>
            <w:r/>
            <w:r>
              <w:rPr>
                <w:rFonts w:ascii="Arial" w:hAnsi="Arial"/>
                <w:b w:val="0"/>
                <w:sz w:val="18"/>
              </w:rPr>
              <w:t>100</w:t>
            </w:r>
          </w:p>
        </w:tc>
        <w:tc>
          <w:tcPr>
            <w:tcW w:type="dxa" w:w="1247"/>
            <w:vAlign w:val="center"/>
          </w:tcPr>
          <w:p>
            <w:pPr>
              <w:jc w:val="center"/>
            </w:pPr>
            <w:r/>
            <w:r>
              <w:rPr>
                <w:rFonts w:ascii="Arial" w:hAnsi="Arial"/>
                <w:b w:val="0"/>
                <w:sz w:val="18"/>
              </w:rPr>
              <w:t>200</w:t>
            </w:r>
          </w:p>
        </w:tc>
        <w:tc>
          <w:tcPr>
            <w:tcW w:type="dxa" w:w="2324"/>
            <w:vAlign w:val="center"/>
          </w:tcPr>
          <w:p>
            <w:pPr>
              <w:jc w:val="center"/>
            </w:pPr>
            <w:r/>
            <w:r>
              <w:rPr>
                <w:rFonts w:ascii="Arial" w:hAnsi="Arial"/>
                <w:b w:val="0"/>
                <w:sz w:val="18"/>
              </w:rPr>
              <w:t>138</w:t>
            </w:r>
          </w:p>
        </w:tc>
      </w:tr>
      <w:tr>
        <w:tc>
          <w:tcPr>
            <w:tcW w:type="dxa" w:w="3855"/>
            <w:vAlign w:val="center"/>
          </w:tcPr>
          <w:p>
            <w:pPr>
              <w:jc w:val="left"/>
            </w:pPr>
            <w:r/>
            <w:r>
              <w:rPr>
                <w:rFonts w:ascii="Arial" w:hAnsi="Arial"/>
                <w:b w:val="0"/>
                <w:sz w:val="18"/>
              </w:rPr>
              <w:t>Palavras-chave</w:t>
            </w:r>
          </w:p>
        </w:tc>
        <w:tc>
          <w:tcPr>
            <w:tcW w:type="dxa" w:w="1247"/>
            <w:vAlign w:val="center"/>
          </w:tcPr>
          <w:p>
            <w:pPr>
              <w:jc w:val="center"/>
            </w:pPr>
            <w:r/>
            <w:r>
              <w:rPr>
                <w:rFonts w:ascii="Arial" w:hAnsi="Arial"/>
                <w:b w:val="0"/>
                <w:sz w:val="18"/>
              </w:rPr>
              <w:t>1</w:t>
            </w:r>
          </w:p>
        </w:tc>
        <w:tc>
          <w:tcPr>
            <w:tcW w:type="dxa" w:w="1247"/>
            <w:vAlign w:val="center"/>
          </w:tcPr>
          <w:p>
            <w:pPr>
              <w:jc w:val="center"/>
            </w:pPr>
            <w:r/>
            <w:r>
              <w:rPr>
                <w:rFonts w:ascii="Arial" w:hAnsi="Arial"/>
                <w:b w:val="0"/>
                <w:sz w:val="18"/>
              </w:rPr>
              <w:t>5</w:t>
            </w:r>
          </w:p>
        </w:tc>
        <w:tc>
          <w:tcPr>
            <w:tcW w:type="dxa" w:w="2324"/>
            <w:vAlign w:val="center"/>
          </w:tcPr>
          <w:p>
            <w:pPr>
              <w:jc w:val="center"/>
            </w:pPr>
            <w:r/>
            <w:r>
              <w:rPr>
                <w:rFonts w:ascii="Arial" w:hAnsi="Arial"/>
                <w:b w:val="0"/>
                <w:sz w:val="18"/>
              </w:rPr>
              <w:t>5</w:t>
            </w:r>
          </w:p>
        </w:tc>
      </w:tr>
      <w:tr>
        <w:tc>
          <w:tcPr>
            <w:tcW w:type="dxa" w:w="3855"/>
            <w:vAlign w:val="center"/>
          </w:tcPr>
          <w:p>
            <w:pPr>
              <w:jc w:val="left"/>
            </w:pPr>
            <w:r/>
            <w:r>
              <w:rPr>
                <w:rFonts w:ascii="Arial" w:hAnsi="Arial"/>
                <w:b w:val="0"/>
                <w:sz w:val="18"/>
              </w:rPr>
              <w:t>Abstract/Resumen</w:t>
            </w:r>
          </w:p>
        </w:tc>
        <w:tc>
          <w:tcPr>
            <w:tcW w:type="dxa" w:w="1247"/>
            <w:vAlign w:val="center"/>
          </w:tcPr>
          <w:p>
            <w:pPr>
              <w:jc w:val="center"/>
            </w:pPr>
            <w:r/>
            <w:r>
              <w:rPr>
                <w:rFonts w:ascii="Arial" w:hAnsi="Arial"/>
                <w:b w:val="0"/>
                <w:sz w:val="18"/>
              </w:rPr>
              <w:t>100</w:t>
            </w:r>
          </w:p>
        </w:tc>
        <w:tc>
          <w:tcPr>
            <w:tcW w:type="dxa" w:w="1247"/>
            <w:vAlign w:val="center"/>
          </w:tcPr>
          <w:p>
            <w:pPr>
              <w:jc w:val="center"/>
            </w:pPr>
            <w:r/>
            <w:r>
              <w:rPr>
                <w:rFonts w:ascii="Arial" w:hAnsi="Arial"/>
                <w:b w:val="0"/>
                <w:sz w:val="18"/>
              </w:rPr>
              <w:t>200</w:t>
            </w:r>
          </w:p>
        </w:tc>
        <w:tc>
          <w:tcPr>
            <w:tcW w:type="dxa" w:w="2324"/>
            <w:vAlign w:val="center"/>
          </w:tcPr>
          <w:p>
            <w:pPr>
              <w:jc w:val="center"/>
            </w:pPr>
            <w:r/>
            <w:r>
              <w:rPr>
                <w:rFonts w:ascii="Arial" w:hAnsi="Arial"/>
                <w:b w:val="0"/>
                <w:sz w:val="18"/>
              </w:rPr>
              <w:t>132</w:t>
            </w:r>
          </w:p>
        </w:tc>
      </w:tr>
      <w:tr>
        <w:tc>
          <w:tcPr>
            <w:tcW w:type="dxa" w:w="3855"/>
            <w:vAlign w:val="center"/>
          </w:tcPr>
          <w:p>
            <w:pPr>
              <w:jc w:val="left"/>
            </w:pPr>
            <w:r/>
            <w:r>
              <w:rPr>
                <w:rFonts w:ascii="Arial" w:hAnsi="Arial"/>
                <w:b w:val="0"/>
                <w:sz w:val="18"/>
              </w:rPr>
              <w:t>Keywords/Palavras clave</w:t>
            </w:r>
          </w:p>
        </w:tc>
        <w:tc>
          <w:tcPr>
            <w:tcW w:type="dxa" w:w="1247"/>
            <w:vAlign w:val="center"/>
          </w:tcPr>
          <w:p>
            <w:pPr>
              <w:jc w:val="center"/>
            </w:pPr>
            <w:r/>
            <w:r>
              <w:rPr>
                <w:rFonts w:ascii="Arial" w:hAnsi="Arial"/>
                <w:b w:val="0"/>
                <w:sz w:val="18"/>
              </w:rPr>
              <w:t>1</w:t>
            </w:r>
          </w:p>
        </w:tc>
        <w:tc>
          <w:tcPr>
            <w:tcW w:type="dxa" w:w="1247"/>
            <w:vAlign w:val="center"/>
          </w:tcPr>
          <w:p>
            <w:pPr>
              <w:jc w:val="center"/>
            </w:pPr>
            <w:r/>
            <w:r>
              <w:rPr>
                <w:rFonts w:ascii="Arial" w:hAnsi="Arial"/>
                <w:b w:val="0"/>
                <w:sz w:val="18"/>
              </w:rPr>
              <w:t>5</w:t>
            </w:r>
          </w:p>
        </w:tc>
        <w:tc>
          <w:tcPr>
            <w:tcW w:type="dxa" w:w="2324"/>
            <w:vAlign w:val="center"/>
          </w:tcPr>
          <w:p>
            <w:pPr>
              <w:jc w:val="center"/>
            </w:pPr>
            <w:r/>
            <w:r>
              <w:rPr>
                <w:rFonts w:ascii="Arial" w:hAnsi="Arial"/>
                <w:b w:val="0"/>
                <w:sz w:val="18"/>
              </w:rPr>
              <w:t>5</w:t>
            </w:r>
          </w:p>
        </w:tc>
      </w:tr>
      <w:tr>
        <w:tc>
          <w:tcPr>
            <w:tcW w:type="dxa" w:w="3855"/>
            <w:vAlign w:val="center"/>
          </w:tcPr>
          <w:p>
            <w:pPr>
              <w:jc w:val="left"/>
            </w:pPr>
            <w:r/>
            <w:r>
              <w:rPr>
                <w:rFonts w:ascii="Arial" w:hAnsi="Arial"/>
                <w:b w:val="0"/>
                <w:sz w:val="18"/>
              </w:rPr>
              <w:t>Introdução</w:t>
            </w:r>
          </w:p>
        </w:tc>
        <w:tc>
          <w:tcPr>
            <w:tcW w:type="dxa" w:w="1247"/>
            <w:vAlign w:val="center"/>
          </w:tcPr>
          <w:p>
            <w:pPr>
              <w:jc w:val="center"/>
            </w:pPr>
            <w:r/>
            <w:r>
              <w:rPr>
                <w:rFonts w:ascii="Arial" w:hAnsi="Arial"/>
                <w:b w:val="0"/>
                <w:sz w:val="18"/>
              </w:rPr>
              <w:t>480</w:t>
            </w:r>
          </w:p>
        </w:tc>
        <w:tc>
          <w:tcPr>
            <w:tcW w:type="dxa" w:w="1247"/>
            <w:vAlign w:val="center"/>
          </w:tcPr>
          <w:p>
            <w:pPr>
              <w:jc w:val="center"/>
            </w:pPr>
            <w:r/>
            <w:r>
              <w:rPr>
                <w:rFonts w:ascii="Arial" w:hAnsi="Arial"/>
                <w:b w:val="0"/>
                <w:sz w:val="18"/>
              </w:rPr>
              <w:t>1000</w:t>
            </w:r>
          </w:p>
        </w:tc>
        <w:tc>
          <w:tcPr>
            <w:tcW w:type="dxa" w:w="2324"/>
            <w:vAlign w:val="center"/>
          </w:tcPr>
          <w:p>
            <w:pPr>
              <w:jc w:val="center"/>
            </w:pPr>
            <w:r/>
            <w:r>
              <w:rPr>
                <w:rFonts w:ascii="Arial" w:hAnsi="Arial"/>
                <w:b w:val="0"/>
                <w:sz w:val="18"/>
              </w:rPr>
              <w:t>494</w:t>
            </w:r>
          </w:p>
        </w:tc>
      </w:tr>
      <w:tr>
        <w:tc>
          <w:tcPr>
            <w:tcW w:type="dxa" w:w="3855"/>
            <w:vAlign w:val="center"/>
          </w:tcPr>
          <w:p>
            <w:pPr>
              <w:jc w:val="left"/>
            </w:pPr>
            <w:r/>
            <w:r>
              <w:rPr>
                <w:rFonts w:ascii="Arial" w:hAnsi="Arial"/>
                <w:b w:val="0"/>
                <w:sz w:val="18"/>
              </w:rPr>
              <w:t>Objetivo geral</w:t>
            </w:r>
          </w:p>
        </w:tc>
        <w:tc>
          <w:tcPr>
            <w:tcW w:type="dxa" w:w="1247"/>
            <w:vAlign w:val="center"/>
          </w:tcPr>
          <w:p>
            <w:pPr>
              <w:jc w:val="center"/>
            </w:pPr>
            <w:r/>
            <w:r>
              <w:rPr>
                <w:rFonts w:ascii="Arial" w:hAnsi="Arial"/>
                <w:b w:val="0"/>
                <w:sz w:val="18"/>
              </w:rPr>
              <w:t>15</w:t>
            </w:r>
          </w:p>
        </w:tc>
        <w:tc>
          <w:tcPr>
            <w:tcW w:type="dxa" w:w="1247"/>
            <w:vAlign w:val="center"/>
          </w:tcPr>
          <w:p>
            <w:pPr>
              <w:jc w:val="center"/>
            </w:pPr>
            <w:r/>
            <w:r>
              <w:rPr>
                <w:rFonts w:ascii="Arial" w:hAnsi="Arial"/>
                <w:b w:val="0"/>
                <w:sz w:val="18"/>
              </w:rPr>
              <w:t>100</w:t>
            </w:r>
          </w:p>
        </w:tc>
        <w:tc>
          <w:tcPr>
            <w:tcW w:type="dxa" w:w="2324"/>
            <w:vAlign w:val="center"/>
          </w:tcPr>
          <w:p>
            <w:pPr>
              <w:jc w:val="center"/>
            </w:pPr>
            <w:r/>
            <w:r>
              <w:rPr>
                <w:rFonts w:ascii="Arial" w:hAnsi="Arial"/>
                <w:b w:val="0"/>
                <w:sz w:val="18"/>
              </w:rPr>
              <w:t>35</w:t>
            </w:r>
          </w:p>
        </w:tc>
      </w:tr>
      <w:tr>
        <w:tc>
          <w:tcPr>
            <w:tcW w:type="dxa" w:w="3855"/>
            <w:vAlign w:val="center"/>
          </w:tcPr>
          <w:p>
            <w:pPr>
              <w:jc w:val="left"/>
            </w:pPr>
            <w:r/>
            <w:r>
              <w:rPr>
                <w:rFonts w:ascii="Arial" w:hAnsi="Arial"/>
                <w:b w:val="0"/>
                <w:sz w:val="18"/>
              </w:rPr>
              <w:t>Objetivos específicos</w:t>
            </w:r>
          </w:p>
        </w:tc>
        <w:tc>
          <w:tcPr>
            <w:tcW w:type="dxa" w:w="1247"/>
            <w:vAlign w:val="center"/>
          </w:tcPr>
          <w:p>
            <w:pPr>
              <w:jc w:val="center"/>
            </w:pPr>
            <w:r/>
            <w:r>
              <w:rPr>
                <w:rFonts w:ascii="Arial" w:hAnsi="Arial"/>
                <w:b w:val="0"/>
                <w:sz w:val="18"/>
              </w:rPr>
              <w:t>30</w:t>
            </w:r>
          </w:p>
        </w:tc>
        <w:tc>
          <w:tcPr>
            <w:tcW w:type="dxa" w:w="1247"/>
            <w:vAlign w:val="center"/>
          </w:tcPr>
          <w:p>
            <w:pPr>
              <w:jc w:val="center"/>
            </w:pPr>
            <w:r/>
            <w:r>
              <w:rPr>
                <w:rFonts w:ascii="Arial" w:hAnsi="Arial"/>
                <w:b w:val="0"/>
                <w:sz w:val="18"/>
              </w:rPr>
              <w:t>200</w:t>
            </w:r>
          </w:p>
        </w:tc>
        <w:tc>
          <w:tcPr>
            <w:tcW w:type="dxa" w:w="2324"/>
            <w:vAlign w:val="center"/>
          </w:tcPr>
          <w:p>
            <w:pPr>
              <w:jc w:val="center"/>
            </w:pPr>
            <w:r/>
            <w:r>
              <w:rPr>
                <w:rFonts w:ascii="Arial" w:hAnsi="Arial"/>
                <w:b w:val="0"/>
                <w:sz w:val="18"/>
              </w:rPr>
              <w:t>68</w:t>
            </w:r>
          </w:p>
        </w:tc>
      </w:tr>
      <w:tr>
        <w:tc>
          <w:tcPr>
            <w:tcW w:type="dxa" w:w="3855"/>
            <w:vAlign w:val="center"/>
          </w:tcPr>
          <w:p>
            <w:pPr>
              <w:jc w:val="left"/>
            </w:pPr>
            <w:r/>
            <w:r>
              <w:rPr>
                <w:rFonts w:ascii="Arial" w:hAnsi="Arial"/>
                <w:b w:val="0"/>
                <w:sz w:val="18"/>
              </w:rPr>
              <w:t>Materiais e métodos</w:t>
            </w:r>
          </w:p>
        </w:tc>
        <w:tc>
          <w:tcPr>
            <w:tcW w:type="dxa" w:w="1247"/>
            <w:vAlign w:val="center"/>
          </w:tcPr>
          <w:p>
            <w:pPr>
              <w:jc w:val="center"/>
            </w:pPr>
            <w:r/>
            <w:r>
              <w:rPr>
                <w:rFonts w:ascii="Arial" w:hAnsi="Arial"/>
                <w:b w:val="0"/>
                <w:sz w:val="18"/>
              </w:rPr>
              <w:t>200</w:t>
            </w:r>
          </w:p>
        </w:tc>
        <w:tc>
          <w:tcPr>
            <w:tcW w:type="dxa" w:w="1247"/>
            <w:vAlign w:val="center"/>
          </w:tcPr>
          <w:p>
            <w:pPr>
              <w:jc w:val="center"/>
            </w:pPr>
            <w:r/>
            <w:r>
              <w:rPr>
                <w:rFonts w:ascii="Arial" w:hAnsi="Arial"/>
                <w:b w:val="0"/>
                <w:sz w:val="18"/>
              </w:rPr>
              <w:t>600</w:t>
            </w:r>
          </w:p>
        </w:tc>
        <w:tc>
          <w:tcPr>
            <w:tcW w:type="dxa" w:w="2324"/>
            <w:vAlign w:val="center"/>
          </w:tcPr>
          <w:p>
            <w:pPr>
              <w:jc w:val="center"/>
            </w:pPr>
            <w:r/>
            <w:r>
              <w:rPr>
                <w:rFonts w:ascii="Arial" w:hAnsi="Arial"/>
                <w:b w:val="0"/>
                <w:sz w:val="18"/>
              </w:rPr>
              <w:t>250</w:t>
            </w:r>
          </w:p>
        </w:tc>
      </w:tr>
      <w:tr>
        <w:tc>
          <w:tcPr>
            <w:tcW w:type="dxa" w:w="3855"/>
            <w:vAlign w:val="center"/>
          </w:tcPr>
          <w:p>
            <w:pPr>
              <w:jc w:val="left"/>
            </w:pPr>
            <w:r/>
            <w:r>
              <w:rPr>
                <w:rFonts w:ascii="Arial" w:hAnsi="Arial"/>
                <w:b w:val="0"/>
                <w:sz w:val="18"/>
              </w:rPr>
              <w:t>Resultados e discussão</w:t>
            </w:r>
          </w:p>
        </w:tc>
        <w:tc>
          <w:tcPr>
            <w:tcW w:type="dxa" w:w="1247"/>
            <w:vAlign w:val="center"/>
          </w:tcPr>
          <w:p>
            <w:pPr>
              <w:jc w:val="center"/>
            </w:pPr>
            <w:r/>
            <w:r>
              <w:rPr>
                <w:rFonts w:ascii="Arial" w:hAnsi="Arial"/>
                <w:b w:val="0"/>
                <w:sz w:val="18"/>
              </w:rPr>
              <w:t>200</w:t>
            </w:r>
          </w:p>
        </w:tc>
        <w:tc>
          <w:tcPr>
            <w:tcW w:type="dxa" w:w="1247"/>
            <w:vAlign w:val="center"/>
          </w:tcPr>
          <w:p>
            <w:pPr>
              <w:jc w:val="center"/>
            </w:pPr>
            <w:r/>
            <w:r>
              <w:rPr>
                <w:rFonts w:ascii="Arial" w:hAnsi="Arial"/>
                <w:b w:val="0"/>
                <w:sz w:val="18"/>
              </w:rPr>
              <w:t>800</w:t>
            </w:r>
          </w:p>
        </w:tc>
        <w:tc>
          <w:tcPr>
            <w:tcW w:type="dxa" w:w="2324"/>
            <w:vAlign w:val="center"/>
          </w:tcPr>
          <w:p>
            <w:pPr>
              <w:jc w:val="center"/>
            </w:pPr>
            <w:r/>
            <w:r>
              <w:rPr>
                <w:rFonts w:ascii="Arial" w:hAnsi="Arial"/>
                <w:b w:val="0"/>
                <w:sz w:val="18"/>
              </w:rPr>
              <w:t>297</w:t>
            </w:r>
          </w:p>
        </w:tc>
      </w:tr>
      <w:tr>
        <w:tc>
          <w:tcPr>
            <w:tcW w:type="dxa" w:w="3855"/>
            <w:vAlign w:val="center"/>
          </w:tcPr>
          <w:p>
            <w:pPr>
              <w:jc w:val="left"/>
            </w:pPr>
            <w:r/>
            <w:r>
              <w:rPr>
                <w:rFonts w:ascii="Arial" w:hAnsi="Arial"/>
                <w:b w:val="0"/>
                <w:sz w:val="18"/>
              </w:rPr>
              <w:t>Considerações finais</w:t>
            </w:r>
          </w:p>
        </w:tc>
        <w:tc>
          <w:tcPr>
            <w:tcW w:type="dxa" w:w="1247"/>
            <w:vAlign w:val="center"/>
          </w:tcPr>
          <w:p>
            <w:pPr>
              <w:jc w:val="center"/>
            </w:pPr>
            <w:r/>
            <w:r>
              <w:rPr>
                <w:rFonts w:ascii="Arial" w:hAnsi="Arial"/>
                <w:b w:val="0"/>
                <w:sz w:val="18"/>
              </w:rPr>
              <w:t>150</w:t>
            </w:r>
          </w:p>
        </w:tc>
        <w:tc>
          <w:tcPr>
            <w:tcW w:type="dxa" w:w="1247"/>
            <w:vAlign w:val="center"/>
          </w:tcPr>
          <w:p>
            <w:pPr>
              <w:jc w:val="center"/>
            </w:pPr>
            <w:r/>
            <w:r>
              <w:rPr>
                <w:rFonts w:ascii="Arial" w:hAnsi="Arial"/>
                <w:b w:val="0"/>
                <w:sz w:val="18"/>
              </w:rPr>
              <w:t>300</w:t>
            </w:r>
          </w:p>
        </w:tc>
        <w:tc>
          <w:tcPr>
            <w:tcW w:type="dxa" w:w="2324"/>
            <w:vAlign w:val="center"/>
          </w:tcPr>
          <w:p>
            <w:pPr>
              <w:jc w:val="center"/>
            </w:pPr>
            <w:r/>
            <w:r>
              <w:rPr>
                <w:rFonts w:ascii="Arial" w:hAnsi="Arial"/>
                <w:b w:val="0"/>
                <w:sz w:val="18"/>
              </w:rPr>
              <w:t>158</w:t>
            </w:r>
          </w:p>
        </w:tc>
      </w:tr>
      <w:tr>
        <w:tc>
          <w:tcPr>
            <w:tcW w:type="dxa" w:w="3855"/>
            <w:vAlign w:val="center"/>
          </w:tcPr>
          <w:p>
            <w:pPr>
              <w:jc w:val="left"/>
            </w:pPr>
            <w:r/>
            <w:r>
              <w:rPr>
                <w:rFonts w:ascii="Arial" w:hAnsi="Arial"/>
                <w:b w:val="0"/>
                <w:sz w:val="18"/>
              </w:rPr>
              <w:t>Referências bibliográficas</w:t>
            </w:r>
          </w:p>
        </w:tc>
        <w:tc>
          <w:tcPr>
            <w:tcW w:type="dxa" w:w="1247"/>
            <w:vAlign w:val="center"/>
          </w:tcPr>
          <w:p>
            <w:pPr>
              <w:jc w:val="center"/>
            </w:pPr>
            <w:r/>
            <w:r>
              <w:rPr>
                <w:rFonts w:ascii="Arial" w:hAnsi="Arial"/>
                <w:b w:val="0"/>
                <w:sz w:val="18"/>
              </w:rPr>
              <w:t>10</w:t>
            </w:r>
          </w:p>
        </w:tc>
        <w:tc>
          <w:tcPr>
            <w:tcW w:type="dxa" w:w="1247"/>
            <w:vAlign w:val="center"/>
          </w:tcPr>
          <w:p>
            <w:pPr>
              <w:jc w:val="center"/>
            </w:pPr>
            <w:r/>
            <w:r>
              <w:rPr>
                <w:rFonts w:ascii="Arial" w:hAnsi="Arial"/>
                <w:b w:val="0"/>
                <w:sz w:val="18"/>
              </w:rPr>
              <w:t>600</w:t>
            </w:r>
          </w:p>
        </w:tc>
        <w:tc>
          <w:tcPr>
            <w:tcW w:type="dxa" w:w="2324"/>
            <w:vAlign w:val="center"/>
          </w:tcPr>
          <w:p>
            <w:pPr>
              <w:jc w:val="center"/>
            </w:pPr>
            <w:r/>
            <w:r>
              <w:rPr>
                <w:rFonts w:ascii="Arial" w:hAnsi="Arial"/>
                <w:b w:val="0"/>
                <w:sz w:val="18"/>
              </w:rPr>
              <w:t>197</w:t>
            </w:r>
          </w:p>
        </w:tc>
      </w:tr>
      <w:tr>
        <w:tc>
          <w:tcPr>
            <w:tcW w:type="dxa" w:w="3855"/>
            <w:vAlign w:val="center"/>
          </w:tcPr>
          <w:p>
            <w:pPr>
              <w:jc w:val="left"/>
            </w:pPr>
            <w:r/>
            <w:r>
              <w:rPr>
                <w:rFonts w:ascii="Arial" w:hAnsi="Arial"/>
                <w:b w:val="0"/>
                <w:sz w:val="18"/>
              </w:rPr>
              <w:t>Total de palavras</w:t>
            </w:r>
          </w:p>
        </w:tc>
        <w:tc>
          <w:tcPr>
            <w:tcW w:type="dxa" w:w="1247"/>
            <w:vAlign w:val="center"/>
          </w:tcPr>
          <w:p>
            <w:pPr>
              <w:jc w:val="center"/>
            </w:pPr>
            <w:r/>
            <w:r>
              <w:rPr>
                <w:rFonts w:ascii="Arial" w:hAnsi="Arial"/>
                <w:b w:val="0"/>
                <w:sz w:val="18"/>
              </w:rPr>
              <w:t>-</w:t>
            </w:r>
          </w:p>
        </w:tc>
        <w:tc>
          <w:tcPr>
            <w:tcW w:type="dxa" w:w="1247"/>
            <w:vAlign w:val="center"/>
          </w:tcPr>
          <w:p>
            <w:pPr>
              <w:jc w:val="center"/>
            </w:pPr>
            <w:r/>
            <w:r>
              <w:rPr>
                <w:rFonts w:ascii="Arial" w:hAnsi="Arial"/>
                <w:b w:val="0"/>
                <w:sz w:val="18"/>
              </w:rPr>
              <w:t>-</w:t>
            </w:r>
          </w:p>
        </w:tc>
        <w:tc>
          <w:tcPr>
            <w:tcW w:type="dxa" w:w="2324"/>
            <w:vAlign w:val="center"/>
          </w:tcPr>
          <w:p>
            <w:pPr>
              <w:jc w:val="center"/>
            </w:pPr>
            <w:r/>
            <w:r>
              <w:rPr>
                <w:rFonts w:ascii="Arial" w:hAnsi="Arial"/>
                <w:b w:val="0"/>
                <w:sz w:val="18"/>
              </w:rPr>
              <w:t>1792</w:t>
            </w:r>
          </w:p>
        </w:tc>
      </w:tr>
      <w:tr>
        <w:tc>
          <w:tcPr>
            <w:tcW w:type="dxa" w:w="3855"/>
            <w:vAlign w:val="center"/>
          </w:tcPr>
          <w:p>
            <w:pPr>
              <w:jc w:val="left"/>
            </w:pPr>
            <w:r/>
            <w:r>
              <w:rPr>
                <w:rFonts w:ascii="Arial" w:hAnsi="Arial"/>
                <w:b w:val="0"/>
                <w:sz w:val="18"/>
              </w:rPr>
              <w:t>Imagens</w:t>
            </w:r>
          </w:p>
        </w:tc>
        <w:tc>
          <w:tcPr>
            <w:tcW w:type="dxa" w:w="1247"/>
            <w:vAlign w:val="center"/>
          </w:tcPr>
          <w:p>
            <w:pPr>
              <w:jc w:val="center"/>
            </w:pPr>
            <w:r/>
            <w:r>
              <w:rPr>
                <w:rFonts w:ascii="Arial" w:hAnsi="Arial"/>
                <w:b w:val="0"/>
                <w:sz w:val="18"/>
              </w:rPr>
              <w:t>0 itens</w:t>
            </w:r>
          </w:p>
        </w:tc>
        <w:tc>
          <w:tcPr>
            <w:tcW w:type="dxa" w:w="1247"/>
            <w:vAlign w:val="center"/>
          </w:tcPr>
          <w:p>
            <w:pPr>
              <w:jc w:val="center"/>
            </w:pPr>
            <w:r/>
            <w:r>
              <w:rPr>
                <w:rFonts w:ascii="Arial" w:hAnsi="Arial"/>
                <w:b w:val="0"/>
                <w:sz w:val="18"/>
              </w:rPr>
              <w:t>8 itens</w:t>
            </w:r>
          </w:p>
        </w:tc>
        <w:tc>
          <w:tcPr>
            <w:tcW w:type="dxa" w:w="2324"/>
            <w:vAlign w:val="center"/>
          </w:tcPr>
          <w:p>
            <w:pPr>
              <w:jc w:val="center"/>
            </w:pPr>
            <w:r/>
            <w:r>
              <w:rPr>
                <w:rFonts w:ascii="Arial" w:hAnsi="Arial"/>
                <w:b w:val="0"/>
                <w:sz w:val="18"/>
              </w:rPr>
              <w:t>0 no DOCX; imagens disponíveis no portal</w:t>
            </w:r>
          </w:p>
        </w:tc>
      </w:tr>
      <w:tr>
        <w:tc>
          <w:tcPr>
            <w:tcW w:type="dxa" w:w="3855"/>
            <w:vAlign w:val="center"/>
          </w:tcPr>
          <w:p>
            <w:pPr>
              <w:jc w:val="left"/>
            </w:pPr>
            <w:r/>
            <w:r>
              <w:rPr>
                <w:rFonts w:ascii="Arial" w:hAnsi="Arial"/>
                <w:b w:val="0"/>
                <w:sz w:val="18"/>
              </w:rPr>
              <w:t>Mídia</w:t>
            </w:r>
          </w:p>
        </w:tc>
        <w:tc>
          <w:tcPr>
            <w:tcW w:type="dxa" w:w="1247"/>
            <w:vAlign w:val="center"/>
          </w:tcPr>
          <w:p>
            <w:pPr>
              <w:jc w:val="center"/>
            </w:pPr>
            <w:r/>
            <w:r>
              <w:rPr>
                <w:rFonts w:ascii="Arial" w:hAnsi="Arial"/>
                <w:b w:val="0"/>
                <w:sz w:val="18"/>
              </w:rPr>
              <w:t>link de vídeo</w:t>
            </w:r>
          </w:p>
        </w:tc>
        <w:tc>
          <w:tcPr>
            <w:tcW w:type="dxa" w:w="1247"/>
            <w:vAlign w:val="center"/>
          </w:tcPr>
          <w:p>
            <w:pPr>
              <w:jc w:val="center"/>
            </w:pPr>
            <w:r/>
            <w:r>
              <w:rPr>
                <w:rFonts w:ascii="Arial" w:hAnsi="Arial"/>
                <w:b w:val="0"/>
                <w:sz w:val="18"/>
              </w:rPr>
              <w:t>1 a 5 min</w:t>
            </w:r>
          </w:p>
        </w:tc>
        <w:tc>
          <w:tcPr>
            <w:tcW w:type="dxa" w:w="2324"/>
            <w:vAlign w:val="center"/>
          </w:tcPr>
          <w:p>
            <w:pPr>
              <w:jc w:val="center"/>
            </w:pPr>
            <w:r/>
            <w:r>
              <w:rPr>
                <w:rFonts w:ascii="Arial" w:hAnsi="Arial"/>
                <w:b w:val="0"/>
                <w:sz w:val="18"/>
              </w:rPr>
              <w:t>roteiro no Apêndice B</w:t>
            </w:r>
          </w:p>
        </w:tc>
      </w:tr>
    </w:tbl>
    <w:p>
      <w:r>
        <w:br w:type="page"/>
      </w:r>
    </w:p>
    <w:p>
      <w:pPr>
        <w:pStyle w:val="Heading1"/>
      </w:pPr>
      <w:r>
        <w:t>Título</w:t>
      </w:r>
    </w:p>
    <w:p>
      <w:pPr>
        <w:jc w:val="both"/>
      </w:pPr>
      <w:r>
        <w:t>Portal Digital da Comunidade: Tecnologia Educacional para Memória, Saberes do Campo e Inclusão Digital</w:t>
      </w:r>
    </w:p>
    <w:p>
      <w:pPr>
        <w:pStyle w:val="Heading1"/>
      </w:pPr>
      <w:r>
        <w:t>Autores</w:t>
      </w:r>
    </w:p>
    <w:p>
      <w:pPr>
        <w:jc w:val="both"/>
      </w:pPr>
      <w:r>
        <w:t>Kauemberg Azevedo de Sousa; João Lucas da Silva Ferreira</w:t>
      </w:r>
    </w:p>
    <w:p>
      <w:pPr/>
      <w:r>
        <w:rPr>
          <w:b/>
        </w:rPr>
        <w:t xml:space="preserve">Orientador: </w:t>
      </w:r>
      <w:r>
        <w:t>Paulo Henrique Gomes Cordeiro da Cunha.</w:t>
      </w:r>
    </w:p>
    <w:p>
      <w:pPr/>
      <w:r>
        <w:rPr>
          <w:b/>
        </w:rPr>
        <w:t xml:space="preserve">Instituição: </w:t>
      </w:r>
      <w:r>
        <w:t>EEMPC Francisco Araújo Barros, Itarema – CE.</w:t>
      </w:r>
    </w:p>
    <w:p>
      <w:pPr>
        <w:pStyle w:val="Heading1"/>
      </w:pPr>
      <w:r>
        <w:t>Resumo</w:t>
      </w:r>
    </w:p>
    <w:p>
      <w:pPr>
        <w:jc w:val="both"/>
      </w:pPr>
      <w:r>
        <w:t>O projeto Portal Digital da Comunidade desenvolveu uma plataforma web educacional para registrar, organizar e divulgar memórias, saberes do campo, produção agrícola, biodiversidade, plantas medicinais e reportagens escolares vinculadas à EEMPC Francisco Araújo Barros, no Assentamento Lagoa do Mineiro, em Itarema, Ceará. A pesquisa foi realizada por meio de abordagem qualitativa, aplicada e participativa, articulando levantamento documental, pesquisa de campo, curadoria de conteúdos, desenvolvimento frontend com HTML5, CSS3 e JavaScript, publicação no GitHub Pages e preparação de um assistente educacional com inteligência artificial. Como resultado, foi criado um portal responsivo, acessível e modular, com páginas sobre história, memória, produção agrícola, plantas nativas, plantas medicinais, mudanças climáticas, educação do campo e IA na educação. A iniciativa fortalece a identidade camponesa, amplia a inclusão digital e transforma a escola em produtora de tecnologia social para preservar e compartilhar conhecimentos locais.</w:t>
      </w:r>
    </w:p>
    <w:p>
      <w:pPr>
        <w:pStyle w:val="Heading1"/>
      </w:pPr>
      <w:r>
        <w:t>Palavras-chave</w:t>
      </w:r>
    </w:p>
    <w:p>
      <w:pPr>
        <w:jc w:val="both"/>
      </w:pPr>
      <w:r>
        <w:t>Portal digital; Educação do campo; Memória comunitária; Inclusão digital; Inteligência artificial.</w:t>
      </w:r>
    </w:p>
    <w:p>
      <w:pPr>
        <w:pStyle w:val="Heading1"/>
      </w:pPr>
      <w:r>
        <w:t>Abstract</w:t>
      </w:r>
    </w:p>
    <w:p>
      <w:pPr>
        <w:jc w:val="both"/>
      </w:pPr>
      <w:r>
        <w:t>The Digital Community Portal project developed an educational web platform to record, organize and share memories, rural knowledge, agricultural production, biodiversity, medicinal plants and school reports connected to EEMPC Francisco Araújo Barros, located in the Lagoa do Mineiro settlement, Itarema, Ceará, Brazil. The research followed a qualitative, applied and participatory approach, combining documentary review, field research, content curation, frontend development with HTML5, CSS3 and JavaScript, GitHub Pages publication and preparation for an educational assistant powered by artificial intelligence. As a result, a responsive, accessible and modular portal was created, including pages about history, memory, agricultural production, native plants, medicinal plants, climate change, rural education and AI in education. The project strengthens peasant identity, expands digital inclusion and positions the school as a producer of social technology for preserving and sharing local knowledge.</w:t>
      </w:r>
    </w:p>
    <w:p>
      <w:pPr>
        <w:pStyle w:val="Heading1"/>
      </w:pPr>
      <w:r>
        <w:t>Keywords</w:t>
      </w:r>
    </w:p>
    <w:p>
      <w:pPr>
        <w:jc w:val="both"/>
      </w:pPr>
      <w:r>
        <w:t>Digital portal; Rural education; Community memory; Digital inclusion; Artificial intelligence.</w:t>
      </w:r>
    </w:p>
    <w:p>
      <w:pPr>
        <w:pStyle w:val="Heading1"/>
      </w:pPr>
      <w:r>
        <w:t>1. Introdução</w:t>
      </w:r>
    </w:p>
    <w:p>
      <w:pPr>
        <w:jc w:val="both"/>
      </w:pPr>
      <w:r>
        <w:t>O Brasil possui grande diversidade cultural, histórica e territorial, mas parte significativa desse patrimônio permanece pouco registrada em ambientes digitais, especialmente nas comunidades rurais.</w:t>
      </w:r>
    </w:p>
    <w:p>
      <w:pPr>
        <w:jc w:val="both"/>
      </w:pPr>
      <w:r>
        <w:t>No Assentamento Lagoa do Mineiro, em Itarema, Ceará, a história de luta pela terra, a memória dos moradores, os saberes agrícolas, o conhecimento sobre plantas nativas e medicinais e a experiência cotidiana da escola do campo formam um acervo vivo, transmitido principalmente pela oralidade.</w:t>
      </w:r>
    </w:p>
    <w:p>
      <w:pPr>
        <w:jc w:val="both"/>
      </w:pPr>
      <w:r>
        <w:t>Quando esse acervo não é documentado, corre o risco de desaparecer com o tempo, enfraquecendo a identidade coletiva e dificultando que as novas gerações reconheçam o valor científico, cultural e social do próprio território.</w:t>
      </w:r>
    </w:p>
    <w:p>
      <w:pPr>
        <w:jc w:val="both"/>
      </w:pPr>
      <w:r>
        <w:t>A EEMPC Francisco Araújo Barros, por ser uma escola do campo inserida nesse território, assume papel estratégico na produção de conhecimento contextualizado.</w:t>
      </w:r>
    </w:p>
    <w:p>
      <w:pPr>
        <w:jc w:val="both"/>
      </w:pPr>
      <w:r>
        <w:t>A educação do campo defende que a aprendizagem deve dialogar com a vida real dos sujeitos, com a cultura local, com o trabalho, com a memória e com o desenvolvimento sustentável das comunidades.</w:t>
      </w:r>
    </w:p>
    <w:p>
      <w:pPr>
        <w:jc w:val="both"/>
      </w:pPr>
      <w:r>
        <w:t>Nesse sentido, a tecnologia não deve ser entendida apenas como ferramenta técnica, mas como meio de cidadania, expressão cultural e democratização do acesso à informação.</w:t>
      </w:r>
    </w:p>
    <w:p>
      <w:pPr>
        <w:jc w:val="both"/>
      </w:pPr>
      <w:r>
        <w:t>O problema investigado parte da constatação de que a comunidade possui muitos conhecimentos importantes, mas pouca presença organizada na internet.</w:t>
      </w:r>
    </w:p>
    <w:p>
      <w:pPr>
        <w:jc w:val="both"/>
      </w:pPr>
      <w:r>
        <w:t>Informações sobre a origem do assentamento, a atuação dos moradores, as práticas agrícolas, as espécies vegetais da região e os projetos escolares estavam dispersas, dependentes de relatos orais ou registradas em arquivos locais pouco acessíveis.</w:t>
      </w:r>
    </w:p>
    <w:p>
      <w:pPr>
        <w:jc w:val="both"/>
      </w:pPr>
      <w:r>
        <w:t>Ao mesmo tempo, estudantes do curso técnico em informática dominam ferramentas digitais capazes de transformar esse cenário.</w:t>
      </w:r>
    </w:p>
    <w:p>
      <w:pPr>
        <w:jc w:val="both"/>
      </w:pPr>
      <w:r>
        <w:t>A justificativa do projeto está na necessidade de unir tecnologia, educação, memória e impacto social.</w:t>
      </w:r>
    </w:p>
    <w:p>
      <w:pPr>
        <w:jc w:val="both"/>
      </w:pPr>
      <w:r>
        <w:t>Ao criar um portal digital, os estudantes exercitam programação, design, acessibilidade, escrita jornalística, curadoria de dados, pesquisa participativa e responsabilidade ética no uso de informações.</w:t>
      </w:r>
    </w:p>
    <w:p>
      <w:pPr>
        <w:jc w:val="both"/>
      </w:pPr>
      <w:r>
        <w:t>A comunidade, por sua vez, passa a ter um espaço público para consultar, compartilhar e valorizar sua própria história.</w:t>
      </w:r>
    </w:p>
    <w:p>
      <w:pPr>
        <w:jc w:val="both"/>
      </w:pPr>
      <w:r>
        <w:t>A fundamentação teórica articula quatro eixos.</w:t>
      </w:r>
    </w:p>
    <w:p>
      <w:pPr>
        <w:jc w:val="both"/>
      </w:pPr>
      <w:r>
        <w:t>O primeiro é a memória coletiva, compreendida como construção social que mantém vivos os vínculos de pertencimento.</w:t>
      </w:r>
    </w:p>
    <w:p>
      <w:pPr>
        <w:jc w:val="both"/>
      </w:pPr>
      <w:r>
        <w:t>O segundo é o patrimônio cultural imaterial, formado por práticas, saberes, expressões e modos de fazer reconhecidos pela comunidade.</w:t>
      </w:r>
    </w:p>
    <w:p>
      <w:pPr>
        <w:jc w:val="both"/>
      </w:pPr>
      <w:r>
        <w:t>O terceiro é a educação libertadora e contextualizada, inspirada em Paulo Freire, que parte da realidade concreta dos educandos.</w:t>
      </w:r>
    </w:p>
    <w:p>
      <w:pPr>
        <w:jc w:val="both"/>
      </w:pPr>
      <w:r>
        <w:t>O quarto é a inclusão digital, entendida como capacidade de usar tecnologias para participação social, produção de conhecimento e redução de desigualdades.</w:t>
      </w:r>
    </w:p>
    <w:p>
      <w:pPr>
        <w:jc w:val="both"/>
      </w:pPr>
      <w:r>
        <w:t>Dessa forma, o Portal Digital da Comunidade responde a uma demanda educacional e social: criar uma tecnologia simples, acessível e sustentável, desenvolvida pelos próprios estudantes, para fortalecer a memória, a pesquisa escolar e a presença digital de uma comunidade rural cearense.</w:t>
      </w:r>
    </w:p>
    <w:p>
      <w:pPr>
        <w:jc w:val="both"/>
      </w:pPr>
      <w:r>
        <w:t>A proposta também se justifica pela possibilidade de continuidade.</w:t>
      </w:r>
    </w:p>
    <w:p>
      <w:pPr>
        <w:jc w:val="both"/>
      </w:pPr>
      <w:r>
        <w:t>Diferentemente de uma atividade pontual, o portal pode ser alimentado por novas turmas, receber fotografias, entrevistas, reportagens, mapas, calendários e materiais pedagógicos.</w:t>
      </w:r>
    </w:p>
    <w:p>
      <w:pPr>
        <w:jc w:val="both"/>
      </w:pPr>
      <w:r>
        <w:t>Assim, o produto final não se limita a demonstrar domínio técnico em programação, mas inaugura uma infraestrutura escolar permanente para pesquisa, comunicação comunitária e aprendizagem interdisciplinar.</w:t>
      </w:r>
    </w:p>
    <w:p>
      <w:pPr>
        <w:pStyle w:val="Heading1"/>
      </w:pPr>
      <w:r>
        <w:t>2. Objetivo geral</w:t>
      </w:r>
    </w:p>
    <w:p>
      <w:pPr>
        <w:jc w:val="both"/>
      </w:pPr>
      <w:r>
        <w:t>Desenvolver e documentar um portal web educacional, acessível e responsivo, capaz de registrar a memória comunitária, valorizar saberes do campo, divulgar pesquisas escolares e preparar recursos interativos com inteligência artificial para estudantes, professores e moradores.</w:t>
      </w:r>
    </w:p>
    <w:p>
      <w:pPr>
        <w:pStyle w:val="Heading1"/>
      </w:pPr>
      <w:r>
        <w:t>3. Objetivos específicos</w:t>
      </w:r>
    </w:p>
    <w:p>
      <w:pPr>
        <w:pStyle w:val="ListBullet"/>
      </w:pPr>
      <w:r>
        <w:t>Mapear conteúdos históricos, culturais, agrícolas e ambientais relevantes para a comunidade.</w:t>
      </w:r>
    </w:p>
    <w:p>
      <w:pPr>
        <w:pStyle w:val="ListBullet"/>
      </w:pPr>
      <w:r>
        <w:t>Organizar páginas digitais sobre história, memória, produção agrícola, plantas nativas, plantas medicinais e reportagens.</w:t>
      </w:r>
    </w:p>
    <w:p>
      <w:pPr>
        <w:pStyle w:val="ListBullet"/>
      </w:pPr>
      <w:r>
        <w:t>Aplicar HTML, CSS e JavaScript na construção de uma plataforma responsiva e acessível.</w:t>
      </w:r>
    </w:p>
    <w:p>
      <w:pPr>
        <w:pStyle w:val="ListBullet"/>
      </w:pPr>
      <w:r>
        <w:t>Implementar espaços para imagens, notícias, eventos e conteúdo dinâmico em JSON.</w:t>
      </w:r>
    </w:p>
    <w:p>
      <w:pPr>
        <w:pStyle w:val="ListBullet"/>
      </w:pPr>
      <w:r>
        <w:t>Preparar arquitetura segura para integração futura com assistente educacional de IA.</w:t>
      </w:r>
    </w:p>
    <w:p>
      <w:pPr>
        <w:pStyle w:val="ListBullet"/>
      </w:pPr>
      <w:r>
        <w:t>Validar o portal como instrumento de aprendizagem, preservação cultural e inclusão digital.</w:t>
      </w:r>
    </w:p>
    <w:p>
      <w:pPr>
        <w:pStyle w:val="Heading1"/>
      </w:pPr>
      <w:r>
        <w:t>4. Materiais e métodos</w:t>
      </w:r>
    </w:p>
    <w:p>
      <w:pPr>
        <w:jc w:val="both"/>
      </w:pPr>
      <w:r>
        <w:t>A pesquisa caracteriza-se como qualitativa, aplicada e participativa, com elementos de pesquisa-ação e desenvolvimento tecnológico.</w:t>
      </w:r>
    </w:p>
    <w:p>
      <w:pPr>
        <w:jc w:val="both"/>
      </w:pPr>
      <w:r>
        <w:t>É qualitativa porque analisa memórias, narrativas, saberes e práticas sociais que não se reduzem a números; aplicada porque resulta em um produto concreto, o Portal Digital da Comunidade; e participativa porque envolve estudantes, professores e comunidade na seleção, organização e validação dos conteúdos.</w:t>
      </w:r>
    </w:p>
    <w:p>
      <w:pPr>
        <w:jc w:val="both"/>
      </w:pPr>
      <w:r>
        <w:t>O universo do projeto é a EEMPC Francisco Araújo Barros e as comunidades relacionadas ao Assentamento Lagoa do Mineiro, em Itarema, Ceará.</w:t>
      </w:r>
    </w:p>
    <w:p>
      <w:pPr>
        <w:jc w:val="both"/>
      </w:pPr>
      <w:r>
        <w:t>Os participantes atuaram como pesquisadores escolares, desenvolvedores, curadores de conteúdo e validadores das informações.</w:t>
      </w:r>
    </w:p>
    <w:p>
      <w:pPr>
        <w:jc w:val="both"/>
      </w:pPr>
      <w:r>
        <w:t>Foram considerados registros históricos, relatos comunitários, dados agrícolas, informações sobre espécies nativas e medicinais, reportagens escolares e materiais técnicos produzidos durante o desenvolvimento do portal.</w:t>
      </w:r>
    </w:p>
    <w:p>
      <w:pPr>
        <w:jc w:val="both"/>
      </w:pPr>
      <w:r>
        <w:t>A construção tecnológica utilizou HTML5 para estruturar as páginas, CSS3 para identidade visual e responsividade, JavaScript moderno para menu, carrossel, formulário, carregamento de JSON e assistente educacional, além de GitHub Pages para publicação do frontend.</w:t>
      </w:r>
    </w:p>
    <w:p>
      <w:pPr>
        <w:jc w:val="both"/>
      </w:pPr>
      <w:r>
        <w:t>O projeto também estruturou um backend Node.js opcional para conexão segura com API de IA, mantendo chaves fora do navegador.</w:t>
      </w:r>
    </w:p>
    <w:p>
      <w:pPr>
        <w:jc w:val="both"/>
      </w:pPr>
      <w:r>
        <w:t>As etapas executadas foram: diagnóstico da ausência de registros digitais organizados; definição da arquitetura do portal; criação das páginas principais; organização de conteúdo dinâmico em JSON; preparação de placeholders para fotos reais dos alunos; implementação de acessibilidade; publicação do site; revisão visual; correção de links, acentuação e padronização do layout; e documentação técnica.</w:t>
      </w:r>
    </w:p>
    <w:p>
      <w:pPr>
        <w:jc w:val="both"/>
      </w:pPr>
      <w:r>
        <w:t>A análise dos resultados considerou coerência pedagógica, funcionamento técnico, acessibilidade, potencial de uso comunitário e alinhamento com o Ceará Científico.</w:t>
      </w:r>
    </w:p>
    <w:p>
      <w:pPr>
        <w:pStyle w:val="Heading1"/>
      </w:pPr>
      <w:r>
        <w:t>5. Resultados e discussão</w:t>
      </w:r>
    </w:p>
    <w:p>
      <w:pPr>
        <w:jc w:val="both"/>
      </w:pPr>
      <w:r>
        <w:t>O principal resultado foi a construção de um portal educacional publicado no GitHub Pages, disponível em endereço público, com identidade visual própria e navegação organizada por temas.</w:t>
      </w:r>
    </w:p>
    <w:p>
      <w:pPr>
        <w:jc w:val="both"/>
      </w:pPr>
      <w:r>
        <w:t>A página inicial apresenta o projeto, rolo de fotos, atalhos para áreas de pesquisa, notícias, eventos e chamada para o assistente de IA.</w:t>
      </w:r>
    </w:p>
    <w:p>
      <w:pPr>
        <w:jc w:val="both"/>
      </w:pPr>
      <w:r>
        <w:t>As páginas internas abordam história, memória, produção agrícola, plantação nativa, plantas medicinais, produção de mudas, educação do campo, mudanças climáticas e IA na educação.</w:t>
      </w:r>
    </w:p>
    <w:p>
      <w:pPr>
        <w:jc w:val="both"/>
      </w:pPr>
      <w:r>
        <w:t>No campo técnico, o portal avançou de um conjunto de páginas estáticas para uma arquitetura modular.</w:t>
      </w:r>
    </w:p>
    <w:p>
      <w:pPr>
        <w:jc w:val="both"/>
      </w:pPr>
      <w:r>
        <w:t>O JavaScript foi separado em componentes de menu, formulário, carrossel, imagens, conteúdo dinâmico e serviços de IA.</w:t>
      </w:r>
    </w:p>
    <w:p>
      <w:pPr>
        <w:jc w:val="both"/>
      </w:pPr>
      <w:r>
        <w:t>O conteúdo leve passou a ser organizado em arquivo JSON, facilitando atualização de notícias, eventos e listas sem alterar toda a estrutura do site.</w:t>
      </w:r>
    </w:p>
    <w:p>
      <w:pPr>
        <w:jc w:val="both"/>
      </w:pPr>
      <w:r>
        <w:t>O CSS principal foi padronizado para manter unidade visual entre as páginas, com responsividade, cards, seções, rodapé comum e melhor experiência em dispositivos móveis.</w:t>
      </w:r>
    </w:p>
    <w:p>
      <w:pPr>
        <w:jc w:val="both"/>
      </w:pPr>
      <w:r>
        <w:t>No campo pedagógico, o portal transformou a comunidade em objeto legítimo de investigação.</w:t>
      </w:r>
    </w:p>
    <w:p>
      <w:pPr>
        <w:jc w:val="both"/>
      </w:pPr>
      <w:r>
        <w:t>A história do assentamento, os saberes sobre plantas, a produção agrícola e as práticas culturais passaram a ser tratados como conhecimento escolar e científico.</w:t>
      </w:r>
    </w:p>
    <w:p>
      <w:pPr>
        <w:jc w:val="both"/>
      </w:pPr>
      <w:r>
        <w:t>Isso fortalece a autoestima dos estudantes e aproxima o curso técnico em informática das necessidades reais do território.</w:t>
      </w:r>
    </w:p>
    <w:p>
      <w:pPr>
        <w:jc w:val="both"/>
      </w:pPr>
      <w:r>
        <w:t>Outro resultado relevante foi a preparação para inteligência artificial educacional.</w:t>
      </w:r>
    </w:p>
    <w:p>
      <w:pPr>
        <w:jc w:val="both"/>
      </w:pPr>
      <w:r>
        <w:t>O projeto não expõe chaves no frontend; ao contrário, prevê backend seguro para responder dúvidas, recomendar páginas, gerar quizzes e apoiar pesquisas.</w:t>
      </w:r>
    </w:p>
    <w:p>
      <w:pPr>
        <w:jc w:val="both"/>
      </w:pPr>
      <w:r>
        <w:t>Essa escolha mostra maturidade técnica e preocupação ética.</w:t>
      </w:r>
    </w:p>
    <w:p>
      <w:pPr>
        <w:jc w:val="both"/>
      </w:pPr>
      <w:r>
        <w:t>A discussão evidencia que a inovação do projeto não está apenas no uso de tecnologia, mas na combinação entre tecnologia, memória, cultura regional, educação do campo e inclusão digital.</w:t>
      </w:r>
    </w:p>
    <w:p>
      <w:pPr>
        <w:jc w:val="both"/>
      </w:pPr>
      <w:r>
        <w:t>O portal atua como produto técnico, ferramenta pedagógica e tecnologia social, podendo ser ampliado continuamente por novas turmas.</w:t>
      </w:r>
    </w:p>
    <w:p>
      <w:pPr>
        <w:pStyle w:val="Heading2"/>
      </w:pPr>
      <w:r>
        <w:t>Síntese do produto desenvolvido</w:t>
      </w:r>
    </w:p>
    <w:tbl>
      <w:tblPr>
        <w:tblStyle w:val="TableGrid"/>
        <w:tblW w:type="auto" w:w="0"/>
        <w:jc w:val="center"/>
        <w:tblLayout w:type="fixed"/>
        <w:tblLook w:firstColumn="1" w:firstRow="1" w:lastColumn="0" w:lastRow="0" w:noHBand="0" w:noVBand="1" w:val="04A0"/>
      </w:tblPr>
      <w:tblGrid>
        <w:gridCol w:w="4535"/>
        <w:gridCol w:w="4535"/>
      </w:tblGrid>
      <w:tr>
        <w:tc>
          <w:tcPr>
            <w:tcW w:type="dxa" w:w="2608"/>
            <w:vAlign w:val="center"/>
            <w:shd w:fill="EAF2EA"/>
          </w:tcPr>
          <w:p>
            <w:pPr>
              <w:jc w:val="left"/>
            </w:pPr>
            <w:r/>
            <w:r>
              <w:rPr>
                <w:rFonts w:ascii="Arial" w:hAnsi="Arial"/>
                <w:b/>
                <w:sz w:val="18"/>
              </w:rPr>
              <w:t>Elemento do portal</w:t>
            </w:r>
          </w:p>
        </w:tc>
        <w:tc>
          <w:tcPr>
            <w:tcW w:type="dxa" w:w="6066"/>
            <w:vAlign w:val="center"/>
            <w:shd w:fill="EAF2EA"/>
          </w:tcPr>
          <w:p>
            <w:pPr>
              <w:jc w:val="center"/>
            </w:pPr>
            <w:r/>
            <w:r>
              <w:rPr>
                <w:rFonts w:ascii="Arial" w:hAnsi="Arial"/>
                <w:b/>
                <w:sz w:val="18"/>
              </w:rPr>
              <w:t>Resultado técnico-pedagógico</w:t>
            </w:r>
          </w:p>
        </w:tc>
      </w:tr>
      <w:tr>
        <w:tc>
          <w:tcPr>
            <w:tcW w:type="dxa" w:w="2608"/>
            <w:vAlign w:val="center"/>
          </w:tcPr>
          <w:p>
            <w:pPr>
              <w:jc w:val="left"/>
            </w:pPr>
            <w:r/>
            <w:r>
              <w:rPr>
                <w:rFonts w:ascii="Arial" w:hAnsi="Arial"/>
                <w:b w:val="0"/>
                <w:sz w:val="18"/>
              </w:rPr>
              <w:t>Página inicial</w:t>
            </w:r>
          </w:p>
        </w:tc>
        <w:tc>
          <w:tcPr>
            <w:tcW w:type="dxa" w:w="6066"/>
            <w:vAlign w:val="center"/>
          </w:tcPr>
          <w:p>
            <w:pPr>
              <w:jc w:val="center"/>
            </w:pPr>
            <w:r/>
            <w:r>
              <w:rPr>
                <w:rFonts w:ascii="Arial" w:hAnsi="Arial"/>
                <w:b w:val="0"/>
                <w:sz w:val="18"/>
              </w:rPr>
              <w:t>Apresenta o projeto, rolo de fotos, atalhos, notícias, eventos e chamada para IA.</w:t>
            </w:r>
          </w:p>
        </w:tc>
      </w:tr>
      <w:tr>
        <w:tc>
          <w:tcPr>
            <w:tcW w:type="dxa" w:w="2608"/>
            <w:vAlign w:val="center"/>
          </w:tcPr>
          <w:p>
            <w:pPr>
              <w:jc w:val="left"/>
            </w:pPr>
            <w:r/>
            <w:r>
              <w:rPr>
                <w:rFonts w:ascii="Arial" w:hAnsi="Arial"/>
                <w:b w:val="0"/>
                <w:sz w:val="18"/>
              </w:rPr>
              <w:t>História e memória</w:t>
            </w:r>
          </w:p>
        </w:tc>
        <w:tc>
          <w:tcPr>
            <w:tcW w:type="dxa" w:w="6066"/>
            <w:vAlign w:val="center"/>
          </w:tcPr>
          <w:p>
            <w:pPr>
              <w:jc w:val="center"/>
            </w:pPr>
            <w:r/>
            <w:r>
              <w:rPr>
                <w:rFonts w:ascii="Arial" w:hAnsi="Arial"/>
                <w:b w:val="0"/>
                <w:sz w:val="18"/>
              </w:rPr>
              <w:t>Registra luta pela terra, identidade comunitária, depoimentos e saberes locais.</w:t>
            </w:r>
          </w:p>
        </w:tc>
      </w:tr>
      <w:tr>
        <w:tc>
          <w:tcPr>
            <w:tcW w:type="dxa" w:w="2608"/>
            <w:vAlign w:val="center"/>
          </w:tcPr>
          <w:p>
            <w:pPr>
              <w:jc w:val="left"/>
            </w:pPr>
            <w:r/>
            <w:r>
              <w:rPr>
                <w:rFonts w:ascii="Arial" w:hAnsi="Arial"/>
                <w:b w:val="0"/>
                <w:sz w:val="18"/>
              </w:rPr>
              <w:t>Produção agrícola</w:t>
            </w:r>
          </w:p>
        </w:tc>
        <w:tc>
          <w:tcPr>
            <w:tcW w:type="dxa" w:w="6066"/>
            <w:vAlign w:val="center"/>
          </w:tcPr>
          <w:p>
            <w:pPr>
              <w:jc w:val="center"/>
            </w:pPr>
            <w:r/>
            <w:r>
              <w:rPr>
                <w:rFonts w:ascii="Arial" w:hAnsi="Arial"/>
                <w:b w:val="0"/>
                <w:sz w:val="18"/>
              </w:rPr>
              <w:t>Organiza dados de cultivo, práticas sustentáveis e relação com a economia familiar.</w:t>
            </w:r>
          </w:p>
        </w:tc>
      </w:tr>
      <w:tr>
        <w:tc>
          <w:tcPr>
            <w:tcW w:type="dxa" w:w="2608"/>
            <w:vAlign w:val="center"/>
          </w:tcPr>
          <w:p>
            <w:pPr>
              <w:jc w:val="left"/>
            </w:pPr>
            <w:r/>
            <w:r>
              <w:rPr>
                <w:rFonts w:ascii="Arial" w:hAnsi="Arial"/>
                <w:b w:val="0"/>
                <w:sz w:val="18"/>
              </w:rPr>
              <w:t>Plantas nativas e medicinais</w:t>
            </w:r>
          </w:p>
        </w:tc>
        <w:tc>
          <w:tcPr>
            <w:tcW w:type="dxa" w:w="6066"/>
            <w:vAlign w:val="center"/>
          </w:tcPr>
          <w:p>
            <w:pPr>
              <w:jc w:val="center"/>
            </w:pPr>
            <w:r/>
            <w:r>
              <w:rPr>
                <w:rFonts w:ascii="Arial" w:hAnsi="Arial"/>
                <w:b w:val="0"/>
                <w:sz w:val="18"/>
              </w:rPr>
              <w:t>Valoriza biodiversidade, saberes tradicionais e pesquisa escolar responsável.</w:t>
            </w:r>
          </w:p>
        </w:tc>
      </w:tr>
      <w:tr>
        <w:tc>
          <w:tcPr>
            <w:tcW w:type="dxa" w:w="2608"/>
            <w:vAlign w:val="center"/>
          </w:tcPr>
          <w:p>
            <w:pPr>
              <w:jc w:val="left"/>
            </w:pPr>
            <w:r/>
            <w:r>
              <w:rPr>
                <w:rFonts w:ascii="Arial" w:hAnsi="Arial"/>
                <w:b w:val="0"/>
                <w:sz w:val="18"/>
              </w:rPr>
              <w:t>Reportagens</w:t>
            </w:r>
          </w:p>
        </w:tc>
        <w:tc>
          <w:tcPr>
            <w:tcW w:type="dxa" w:w="6066"/>
            <w:vAlign w:val="center"/>
          </w:tcPr>
          <w:p>
            <w:pPr>
              <w:jc w:val="center"/>
            </w:pPr>
            <w:r/>
            <w:r>
              <w:rPr>
                <w:rFonts w:ascii="Arial" w:hAnsi="Arial"/>
                <w:b w:val="0"/>
                <w:sz w:val="18"/>
              </w:rPr>
              <w:t>Aprofunda educação do campo, mudanças climáticas e inteligência artificial na educação.</w:t>
            </w:r>
          </w:p>
        </w:tc>
      </w:tr>
      <w:tr>
        <w:tc>
          <w:tcPr>
            <w:tcW w:type="dxa" w:w="2608"/>
            <w:vAlign w:val="center"/>
          </w:tcPr>
          <w:p>
            <w:pPr>
              <w:jc w:val="left"/>
            </w:pPr>
            <w:r/>
            <w:r>
              <w:rPr>
                <w:rFonts w:ascii="Arial" w:hAnsi="Arial"/>
                <w:b w:val="0"/>
                <w:sz w:val="18"/>
              </w:rPr>
              <w:t>Arquitetura de IA</w:t>
            </w:r>
          </w:p>
        </w:tc>
        <w:tc>
          <w:tcPr>
            <w:tcW w:type="dxa" w:w="6066"/>
            <w:vAlign w:val="center"/>
          </w:tcPr>
          <w:p>
            <w:pPr>
              <w:jc w:val="center"/>
            </w:pPr>
            <w:r/>
            <w:r>
              <w:rPr>
                <w:rFonts w:ascii="Arial" w:hAnsi="Arial"/>
                <w:b w:val="0"/>
                <w:sz w:val="18"/>
              </w:rPr>
              <w:t>Prevê backend seguro para respostas, quizzes e recomendações de conteúdo.</w:t>
            </w:r>
          </w:p>
        </w:tc>
      </w:tr>
    </w:tbl>
    <w:p>
      <w:pPr>
        <w:pStyle w:val="Heading1"/>
      </w:pPr>
      <w:r>
        <w:t>6. Considerações finais</w:t>
      </w:r>
    </w:p>
    <w:p>
      <w:pPr>
        <w:jc w:val="both"/>
      </w:pPr>
      <w:r>
        <w:t>O Portal Digital da Comunidade alcançou seu objetivo ao criar uma plataforma web educacional capaz de reunir memória, cultura, produção agrícola, biodiversidade e inovação tecnológica em um único ambiente acessível.</w:t>
      </w:r>
    </w:p>
    <w:p>
      <w:pPr>
        <w:jc w:val="both"/>
      </w:pPr>
      <w:r>
        <w:t>O projeto demonstra que estudantes da escola do campo podem produzir tecnologia relevante, conectada à realidade local e com potencial de impacto social.</w:t>
      </w:r>
    </w:p>
    <w:p>
      <w:pPr>
        <w:jc w:val="both"/>
      </w:pPr>
      <w:r>
        <w:t>A experiência permitiu desenvolver competências de programação, design, escrita, pesquisa, curadoria, acessibilidade e trabalho colaborativo.</w:t>
      </w:r>
    </w:p>
    <w:p>
      <w:pPr>
        <w:jc w:val="both"/>
      </w:pPr>
      <w:r>
        <w:t>Também mostrou que a internet pode ser usada para combater a invisibilidade de comunidades rurais, registrando saberes que muitas vezes permanecem restritos à oralidade.</w:t>
      </w:r>
    </w:p>
    <w:p>
      <w:pPr>
        <w:jc w:val="both"/>
      </w:pPr>
      <w:r>
        <w:t>Como continuidade, recomenda-se ampliar a coleta de depoimentos, inserir fotos reais dos alunos, publicar novas reportagens, validar o portal com moradores e ativar o backend de IA.</w:t>
      </w:r>
    </w:p>
    <w:p>
      <w:pPr>
        <w:jc w:val="both"/>
      </w:pPr>
      <w:r>
        <w:t>Assim, o projeto pode evoluir de protótipo escolar para acervo digital permanente da comunidade, fortalecendo o Ceará Científico como espaço de ciência, cidadania e transformação social.</w:t>
      </w:r>
    </w:p>
    <w:p>
      <w:pPr>
        <w:jc w:val="both"/>
      </w:pPr>
      <w:r>
        <w:t>Seu maior valor está em provar que inovação também nasce do território.</w:t>
      </w:r>
    </w:p>
    <w:p>
      <w:pPr>
        <w:pStyle w:val="Heading1"/>
      </w:pPr>
      <w:r>
        <w:t>7. Referências bibliográficas</w:t>
      </w:r>
    </w:p>
    <w:p>
      <w:pPr>
        <w:ind w:hanging="283" w:left="283"/>
      </w:pPr>
      <w:r>
        <w:t>CEARÁ. Secretaria da Educação do Estado do Ceará. Regulamento Ceará Científico: Mais Solidário, Mais Cooperativo 2026. Fortaleza: SEDUC, 2026.</w:t>
      </w:r>
    </w:p>
    <w:p>
      <w:pPr>
        <w:ind w:hanging="283" w:left="283"/>
      </w:pPr>
      <w:r>
        <w:t>BRASIL. Decreto nº 7.352, de 4 de novembro de 2010. Dispõe sobre a política de educação do campo e o Programa Nacional de Educação na Reforma Agrária.</w:t>
      </w:r>
    </w:p>
    <w:p>
      <w:pPr>
        <w:ind w:hanging="283" w:left="283"/>
      </w:pPr>
      <w:r>
        <w:t>BRASIL. Decreto nº 3.551, de 4 de agosto de 2000. Institui o registro de bens culturais de natureza imaterial.</w:t>
      </w:r>
    </w:p>
    <w:p>
      <w:pPr>
        <w:ind w:hanging="283" w:left="283"/>
      </w:pPr>
      <w:r>
        <w:t>BRASIL. Lei nº 13.709, de 14 de agosto de 2018. Lei Geral de Proteção de Dados Pessoais.</w:t>
      </w:r>
    </w:p>
    <w:p>
      <w:pPr>
        <w:ind w:hanging="283" w:left="283"/>
      </w:pPr>
      <w:r>
        <w:t>CETIC.BR. TIC Educação: pesquisa sobre o uso das tecnologias de informação e comunicação nas escolas brasileiras.</w:t>
      </w:r>
    </w:p>
    <w:p>
      <w:pPr>
        <w:ind w:hanging="283" w:left="283"/>
      </w:pPr>
      <w:r>
        <w:t>EMBRAPA. Tecnologias sociais, agricultura familiar e convivência com o semiárido. Brasília: Embrapa.</w:t>
      </w:r>
    </w:p>
    <w:p>
      <w:pPr>
        <w:ind w:hanging="283" w:left="283"/>
      </w:pPr>
      <w:r>
        <w:t>FREIRE, Paulo. Pedagogia do Oprimido. Rio de Janeiro: Paz e Terra, 1987.</w:t>
      </w:r>
    </w:p>
    <w:p>
      <w:pPr>
        <w:ind w:hanging="283" w:left="283"/>
      </w:pPr>
      <w:r>
        <w:t>HALBWACHS, Maurice. A memória coletiva. São Paulo: Centauro, 2006.</w:t>
      </w:r>
    </w:p>
    <w:p>
      <w:pPr>
        <w:ind w:hanging="283" w:left="283"/>
      </w:pPr>
      <w:r>
        <w:t>IBGE. Censo Agropecuário e informações territoriais do Brasil. Rio de Janeiro: IBGE.</w:t>
      </w:r>
    </w:p>
    <w:p>
      <w:pPr>
        <w:ind w:hanging="283" w:left="283"/>
      </w:pPr>
      <w:r>
        <w:t>UNESCO. Convenção para a Salvaguarda do Patrimônio Cultural Imaterial. Paris, 2003.</w:t>
      </w:r>
    </w:p>
    <w:p>
      <w:pPr>
        <w:ind w:hanging="283" w:left="283"/>
      </w:pPr>
      <w:r>
        <w:t>W3C. Web Content Accessibility Guidelines (WCAG). World Wide Web Consortium.</w:t>
      </w:r>
    </w:p>
    <w:p>
      <w:pPr>
        <w:ind w:hanging="283" w:left="283"/>
      </w:pPr>
      <w:r>
        <w:t>GITHUB. GitHub Pages Documentation. Disponível em: https://docs.github.com/pages.</w:t>
      </w:r>
    </w:p>
    <w:p>
      <w:pPr>
        <w:ind w:hanging="283" w:left="283"/>
      </w:pPr>
      <w:r>
        <w:t>PORTAL DA COMUNIDADE. Site público do projeto. Disponível em: https://paulocunha1009.github.io/Portal-da-Comunidade/index.html.</w:t>
      </w:r>
    </w:p>
    <w:p>
      <w:pPr>
        <w:pStyle w:val="Heading1"/>
      </w:pPr>
      <w:r>
        <w:t>Apêndice A — Link e evidências do produto</w:t>
      </w:r>
    </w:p>
    <w:p>
      <w:pPr/>
      <w:r>
        <w:rPr>
          <w:b/>
        </w:rPr>
        <w:t xml:space="preserve">Portal publicado: </w:t>
      </w:r>
      <w:r>
        <w:t>https://paulocunha1009.github.io/Portal-da-Comunidade/index.html</w:t>
      </w:r>
    </w:p>
    <w:p>
      <w:pPr/>
      <w:r>
        <w:rPr>
          <w:b/>
        </w:rPr>
        <w:t xml:space="preserve">Repositório: </w:t>
      </w:r>
      <w:r>
        <w:t>github.com/paulocunha1009/Portal-da-Comunidade</w:t>
      </w:r>
    </w:p>
    <w:p>
      <w:pPr/>
      <w:r>
        <w:rPr>
          <w:b/>
        </w:rPr>
        <w:t xml:space="preserve">Tecnologias: </w:t>
      </w:r>
      <w:r>
        <w:t>HTML5, CSS3, JavaScript, JSON, GitHub Pages, Node.js e backend opcional para IA.</w:t>
      </w:r>
    </w:p>
    <w:p>
      <w:pPr/>
      <w:r>
        <w:rPr>
          <w:b/>
        </w:rPr>
        <w:t xml:space="preserve">Documentação técnica: </w:t>
      </w:r>
      <w:r>
        <w:t>DOCUMENTACAO_UNIFICADA.md e documentação do repositório local.</w:t>
      </w:r>
    </w:p>
    <w:p>
      <w:pPr>
        <w:pStyle w:val="Heading1"/>
      </w:pPr>
      <w:r>
        <w:t>Apêndice B — Roteiro para vídeo de apresentação</w:t>
      </w:r>
    </w:p>
    <w:p>
      <w:pPr>
        <w:jc w:val="both"/>
      </w:pPr>
      <w:r>
        <w:t>O vídeo de inscrição deve ser gravado na horizontal, em local silencioso e iluminado, conforme orientação do edital. Sugere-se duração entre 2 e 3 minutos, com participação dos dois estudantes.</w:t>
      </w:r>
    </w:p>
    <w:p>
      <w:pPr>
        <w:pStyle w:val="ListBullet"/>
      </w:pPr>
      <w:r>
        <w:t>Apresentar escola, autores, orientador, categoria, área de pesquisa e título.</w:t>
      </w:r>
    </w:p>
    <w:p>
      <w:pPr>
        <w:pStyle w:val="ListBullet"/>
      </w:pPr>
      <w:r>
        <w:t>Explicar o problema: ausência de registros digitais organizados da memória e dos saberes da comunidade.</w:t>
      </w:r>
    </w:p>
    <w:p>
      <w:pPr>
        <w:pStyle w:val="ListBullet"/>
      </w:pPr>
      <w:r>
        <w:t>Mostrar o portal publicado, destacando página inicial, história, memória, agricultura, plantas e reportagens.</w:t>
      </w:r>
    </w:p>
    <w:p>
      <w:pPr>
        <w:pStyle w:val="ListBullet"/>
      </w:pPr>
      <w:r>
        <w:t>Explicar a metodologia: pesquisa participativa, curadoria de conteúdo, desenvolvimento web e validação.</w:t>
      </w:r>
    </w:p>
    <w:p>
      <w:pPr>
        <w:pStyle w:val="ListBullet"/>
      </w:pPr>
      <w:r>
        <w:t>Apresentar resultados: site responsivo, documentação, conteúdo dinâmico, acessibilidade e arquitetura para IA.</w:t>
      </w:r>
    </w:p>
    <w:p>
      <w:pPr>
        <w:pStyle w:val="ListBullet"/>
      </w:pPr>
      <w:r>
        <w:t>Concluir relacionando o projeto ao tema Ciência, Cidadania e Convivência Democrática: o conhecimento a serviço da vida coletiva.</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4726"/>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6B3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46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