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EF2BF" w14:textId="77777777" w:rsidR="0093139A" w:rsidRDefault="00000000">
      <w:pPr>
        <w:spacing w:after="100"/>
        <w:jc w:val="center"/>
      </w:pPr>
      <w:r>
        <w:rPr>
          <w:rFonts w:ascii="Calibri" w:eastAsia="Calibri" w:hAnsi="Calibri" w:cs="Calibri"/>
          <w:b/>
          <w:bCs/>
          <w:sz w:val="26"/>
          <w:szCs w:val="26"/>
        </w:rPr>
        <w:t>AVALIAÇÃO TÉCNICA BASEADA EM TRI E IA GENERATIVA: PERSONALIZAÇÃO DA APRENDIZAGEM NA EDUCAÇÃO PROFISSIONAL DO CEARÁ</w:t>
      </w:r>
    </w:p>
    <w:p w14:paraId="26E3622E" w14:textId="77777777" w:rsidR="0093139A" w:rsidRDefault="00000000">
      <w:pPr>
        <w:spacing w:before="100" w:after="100"/>
        <w:jc w:val="center"/>
      </w:pPr>
      <w:r>
        <w:rPr>
          <w:rFonts w:ascii="Calibri" w:eastAsia="Calibri" w:hAnsi="Calibri" w:cs="Calibri"/>
          <w:i/>
          <w:iCs/>
        </w:rPr>
        <w:t>TECHNICAL ASSESSMENT BASED ON IRT AND GENERATIVE AI: PERSONALIZING LEARNING IN PROFESSIONAL EDUCATION IN CEARÁ</w:t>
      </w:r>
    </w:p>
    <w:p w14:paraId="7C3A3B8D" w14:textId="246A5753" w:rsidR="0093139A" w:rsidRDefault="00000000">
      <w:pPr>
        <w:spacing w:after="400"/>
        <w:jc w:val="center"/>
      </w:pPr>
      <w:r>
        <w:rPr>
          <w:rFonts w:ascii="Calibri" w:eastAsia="Calibri" w:hAnsi="Calibri" w:cs="Calibri"/>
        </w:rPr>
        <w:t>Autor(a):</w:t>
      </w:r>
      <w:r w:rsidR="00DD5802">
        <w:rPr>
          <w:rFonts w:ascii="Calibri" w:eastAsia="Calibri" w:hAnsi="Calibri" w:cs="Calibri"/>
        </w:rPr>
        <w:t xml:space="preserve"> Paulo Henrique Gomes Cordeiro da Cunha </w:t>
      </w:r>
      <w:r>
        <w:rPr>
          <w:rFonts w:ascii="Calibri" w:eastAsia="Calibri" w:hAnsi="Calibri" w:cs="Calibri"/>
        </w:rPr>
        <w:t xml:space="preserve">— </w:t>
      </w:r>
      <w:r w:rsidR="00DD5802">
        <w:rPr>
          <w:rFonts w:ascii="Calibri" w:eastAsia="Calibri" w:hAnsi="Calibri" w:cs="Calibri"/>
        </w:rPr>
        <w:t>Professor/Coordenador do Curso Técnico de Informática da EEMCP Francisco Araujo Barros – Itarema/CE – CREDE 03 - Ceará</w:t>
      </w:r>
    </w:p>
    <w:p w14:paraId="610B7CF1" w14:textId="77777777" w:rsidR="0093139A" w:rsidRDefault="00000000">
      <w:pPr>
        <w:pStyle w:val="Ttulo1"/>
        <w:spacing w:before="300" w:after="150"/>
      </w:pPr>
      <w:r>
        <w:rPr>
          <w:rFonts w:ascii="Calibri" w:eastAsia="Calibri" w:hAnsi="Calibri" w:cs="Calibri"/>
          <w:b/>
          <w:bCs/>
        </w:rPr>
        <w:t>Resumo</w:t>
      </w:r>
    </w:p>
    <w:p w14:paraId="10C518F9" w14:textId="77777777" w:rsidR="0093139A" w:rsidRDefault="00000000">
      <w:pPr>
        <w:spacing w:after="200" w:line="300" w:lineRule="auto"/>
        <w:ind w:firstLine="700"/>
        <w:jc w:val="both"/>
      </w:pPr>
      <w:r>
        <w:rPr>
          <w:rFonts w:ascii="Calibri" w:eastAsia="Calibri" w:hAnsi="Calibri" w:cs="Calibri"/>
          <w:sz w:val="22"/>
          <w:szCs w:val="22"/>
        </w:rPr>
        <w:t>Este artigo apresenta a proposta metodológica do SIDEP-CE (Sistema de Diagnóstico da Educação Profissional do Ceará), um método de avaliação diagnóstica, formativa e final para cursos técnicos da rede estadual do Ceará. A proposta estrutura-se a partir de matriz de competências, descritores avaliáveis, banco de itens, rubricas práticas, parâmetros inspirados na Teoria de Resposta ao Item (TRI) e apoio de Inteligência Artificial Generativa para personalização de intervenções pedagógicas. Parte-se do problema de que os cursos técnicos da rede estadual possuem matrizes curriculares extensas e estruturadas, mas ainda carecem de um sistema contínuo de avaliação capaz de produzir evidências comparáveis sobre o desenvolvimento das competências profissionais dos estudantes. O artigo situa essa lacuna à luz do Decreto federal nº 12.603/2025, que instituiu o Sistema Nacional de Avaliação da Educação Profissional e Tecnológica (SINAEPT) sem definir o método de avaliação diagnóstica de competências técnicas, e apresenta a arquitetura conceitual do método proposto, suas dimensões avaliativas, seus momentos de aplicação e sua trajetória de validação psicométrica. Trata-se de uma contribuição teórico-metodológica: o método ainda não foi aplicado empiricamente, e o artigo não reporta resultados de desempenho discente, limitando-se à fundamentação e ao desenho da proposta.</w:t>
      </w:r>
    </w:p>
    <w:p w14:paraId="745BBFC0" w14:textId="77777777" w:rsidR="0093139A" w:rsidRDefault="00000000">
      <w:pPr>
        <w:spacing w:after="200" w:line="300" w:lineRule="auto"/>
        <w:jc w:val="both"/>
      </w:pPr>
      <w:r>
        <w:rPr>
          <w:rFonts w:ascii="Calibri" w:eastAsia="Calibri" w:hAnsi="Calibri" w:cs="Calibri"/>
          <w:sz w:val="22"/>
          <w:szCs w:val="22"/>
        </w:rPr>
        <w:t>Palavras-chave: Educação Profissional e Tecnológica. Teoria de Resposta ao Item. Inteligência Artificial Generativa. Avaliação por competências. Ceará.</w:t>
      </w:r>
    </w:p>
    <w:p w14:paraId="7ED82AE6" w14:textId="77777777" w:rsidR="0093139A" w:rsidRDefault="00000000">
      <w:pPr>
        <w:pStyle w:val="Ttulo1"/>
        <w:spacing w:before="300" w:after="150"/>
      </w:pPr>
      <w:r>
        <w:rPr>
          <w:rFonts w:ascii="Calibri" w:eastAsia="Calibri" w:hAnsi="Calibri" w:cs="Calibri"/>
          <w:b/>
          <w:bCs/>
        </w:rPr>
        <w:t>Abstract</w:t>
      </w:r>
    </w:p>
    <w:p w14:paraId="45F2A706" w14:textId="77777777" w:rsidR="0093139A" w:rsidRDefault="00000000">
      <w:pPr>
        <w:spacing w:after="200" w:line="300" w:lineRule="auto"/>
        <w:ind w:firstLine="700"/>
        <w:jc w:val="both"/>
      </w:pPr>
      <w:r>
        <w:rPr>
          <w:rFonts w:ascii="Calibri" w:eastAsia="Calibri" w:hAnsi="Calibri" w:cs="Calibri"/>
          <w:sz w:val="22"/>
          <w:szCs w:val="22"/>
        </w:rPr>
        <w:t xml:space="preserve">This article presents the methodological proposal of SIDEP-CE (Sistema de Diagnóstico da Educação Profissional do Ceará), a diagnostic, formative and final assessment method for technical courses in the public professional education network of Ceará, Brazil, structured around a competency matrix, measurable descriptors, an item bank, practical rubrics, parameters inspired by Item Response Theory (IRT), and Generative Artificial Intelligence support for personalized pedagogical intervention. The starting problem is that technical courses in the state network have extensive, well-structured curricular matrices but still lack a continuous assessment system capable of producing comparable evidence about students' professional competence development. The article situates this gap in light of Federal Decree No. 12,603/2025, which established the National System for the Evaluation of Professional and Technological Education (SINAEPT) without defining a method for the diagnostic assessment of technical competencies, and presents the conceptual architecture of the proposed method, its assessment dimensions, its application moments, and its psychometric validation pathway. This is a theoretical-methodological contribution: the method has not yet been empirically </w:t>
      </w:r>
      <w:r>
        <w:rPr>
          <w:rFonts w:ascii="Calibri" w:eastAsia="Calibri" w:hAnsi="Calibri" w:cs="Calibri"/>
          <w:sz w:val="22"/>
          <w:szCs w:val="22"/>
        </w:rPr>
        <w:lastRenderedPageBreak/>
        <w:t>applied, and the article does not report student performance results, being limited to the grounding and design of the proposal.</w:t>
      </w:r>
    </w:p>
    <w:p w14:paraId="08FE798F" w14:textId="77777777" w:rsidR="0093139A" w:rsidRDefault="00000000">
      <w:pPr>
        <w:spacing w:after="200" w:line="300" w:lineRule="auto"/>
        <w:jc w:val="both"/>
      </w:pPr>
      <w:r>
        <w:rPr>
          <w:rFonts w:ascii="Calibri" w:eastAsia="Calibri" w:hAnsi="Calibri" w:cs="Calibri"/>
          <w:sz w:val="22"/>
          <w:szCs w:val="22"/>
        </w:rPr>
        <w:t>Keywords: Professional and Technological Education. Item Response Theory. Generative Artificial Intelligence. Competency-based assessment. Ceará.</w:t>
      </w:r>
    </w:p>
    <w:p w14:paraId="258A1767" w14:textId="77777777" w:rsidR="0093139A" w:rsidRDefault="00000000">
      <w:pPr>
        <w:pStyle w:val="Ttulo1"/>
        <w:spacing w:before="300" w:after="150"/>
      </w:pPr>
      <w:r>
        <w:rPr>
          <w:rFonts w:ascii="Calibri" w:eastAsia="Calibri" w:hAnsi="Calibri" w:cs="Calibri"/>
          <w:b/>
          <w:bCs/>
        </w:rPr>
        <w:t>1 Introdução</w:t>
      </w:r>
    </w:p>
    <w:p w14:paraId="3DB08397" w14:textId="77777777" w:rsidR="0093139A" w:rsidRDefault="00000000">
      <w:pPr>
        <w:spacing w:after="200" w:line="300" w:lineRule="auto"/>
        <w:ind w:firstLine="700"/>
        <w:jc w:val="both"/>
      </w:pPr>
      <w:r>
        <w:rPr>
          <w:rFonts w:ascii="Calibri" w:eastAsia="Calibri" w:hAnsi="Calibri" w:cs="Calibri"/>
          <w:sz w:val="22"/>
          <w:szCs w:val="22"/>
        </w:rPr>
        <w:t>Há mais de duas décadas, os principais sistemas brasileiros de avaliação em larga escala mobilizam a Teoria de Resposta ao Item (TRI) para medir proficiência em componentes da formação geral. Essa tradição metodológica, contudo, praticamente não alcançou a avaliação de competências técnicas na Educação Profissional e Tecnológica (EPT). A lacuna deixou de ser apenas uma omissão da literatura especializada e passou a configurar um vazio normativo explícito com o Decreto federal nº 12.603/2025, que instituiu o Sistema Nacional de Avaliação da Educação Profissional e Tecnológica (SINAEPT) e determinou a avaliação diagnóstica de competências e habilidades práticas nos cursos técnicos, sem definir o método correspondente. Este artigo parte desse duplo vazio — teórico e normativo — para apresentar uma proposta que o enfrenta diretamente.</w:t>
      </w:r>
    </w:p>
    <w:p w14:paraId="37B50209" w14:textId="77777777" w:rsidR="0093139A" w:rsidRDefault="00000000">
      <w:pPr>
        <w:spacing w:after="200" w:line="300" w:lineRule="auto"/>
        <w:ind w:firstLine="700"/>
        <w:jc w:val="both"/>
      </w:pPr>
      <w:r>
        <w:rPr>
          <w:rFonts w:ascii="Calibri" w:eastAsia="Calibri" w:hAnsi="Calibri" w:cs="Calibri"/>
          <w:sz w:val="22"/>
          <w:szCs w:val="22"/>
        </w:rPr>
        <w:t>Nesse cenário, a Educação Profissional e Tecnológica ocupa posição estratégica no desenvolvimento educacional, econômico e social do Ceará. As Escolas Estaduais de Educação Profissional (EEEPs) consolidaram, ao longo dos últimos anos, uma política pública voltada à integração entre Ensino Médio e formação técnica, articulando formação geral, formação profissional, parte diversificada e estágio curricular. O Caderno de Matrizes 2026 da Secretaria da Educação do Ceará registra a oferta de cinquenta e dois cursos técnicos nas EEEPs, distribuídos em eixos tecnológicos como Ambiente e Saúde, Controle e Processos Industriais, Gestão e Negócios, Informação e Comunicação, Infraestrutura, Produção Alimentícia, Produção Cultural e Design, Produção Industrial, Recursos Naturais, Segurança e Turismo, Hospitalidade e Lazer.</w:t>
      </w:r>
    </w:p>
    <w:p w14:paraId="361BE65E" w14:textId="77777777" w:rsidR="0093139A" w:rsidRDefault="00000000">
      <w:pPr>
        <w:spacing w:after="200" w:line="300" w:lineRule="auto"/>
        <w:ind w:firstLine="700"/>
        <w:jc w:val="both"/>
      </w:pPr>
      <w:r>
        <w:rPr>
          <w:rFonts w:ascii="Calibri" w:eastAsia="Calibri" w:hAnsi="Calibri" w:cs="Calibri"/>
          <w:sz w:val="22"/>
          <w:szCs w:val="22"/>
        </w:rPr>
        <w:t>Entretanto, a existência de matrizes curriculares extensas e organizadas não garante, por si só, a produção de evidências contínuas sobre o desenvolvimento das competências dos estudantes. Em muitas experiências escolares, a avaliação permanece restrita à nota disciplinar, ao percentual de acertos ou ao cumprimento formal da carga horária. Essa forma de acompanhamento é importante, mas insuficiente: ela não responde a perguntas decisivas para a gestão pedagógica da EPT. Quais competências técnicas os estudantes dominam ao ingressar no curso? Em quais descritores há maior fragilidade ao longo do percurso? Como comparar a evolução de turmas, escolas, cursos e eixos tecnológicos sem reduzir a análise a médias brutas?</w:t>
      </w:r>
    </w:p>
    <w:p w14:paraId="6761687B" w14:textId="77777777" w:rsidR="0093139A" w:rsidRDefault="00000000">
      <w:pPr>
        <w:spacing w:after="200" w:line="300" w:lineRule="auto"/>
        <w:ind w:firstLine="700"/>
        <w:jc w:val="both"/>
      </w:pPr>
      <w:r>
        <w:rPr>
          <w:rFonts w:ascii="Calibri" w:eastAsia="Calibri" w:hAnsi="Calibri" w:cs="Calibri"/>
          <w:sz w:val="22"/>
          <w:szCs w:val="22"/>
        </w:rPr>
        <w:t>Diante desse cenário, este artigo tem como objetivo apresentar a proposta metodológica do SIDEP-CE, discutindo sua fundamentação teórica, sua base normativa e sua arquitetura conceitual. Ainda em fase de proposição, o método é tratado aqui como contribuição teórico-metodológica ao debate sobre avaliação por competências, Teoria de Resposta ao Item e Inteligência Artificial Generativa na Educação Profissional.</w:t>
      </w:r>
    </w:p>
    <w:p w14:paraId="1EF229B3" w14:textId="77777777" w:rsidR="0093139A" w:rsidRDefault="00000000">
      <w:pPr>
        <w:pStyle w:val="Ttulo1"/>
        <w:spacing w:before="300" w:after="150"/>
      </w:pPr>
      <w:r>
        <w:rPr>
          <w:rFonts w:ascii="Calibri" w:eastAsia="Calibri" w:hAnsi="Calibri" w:cs="Calibri"/>
          <w:b/>
          <w:bCs/>
        </w:rPr>
        <w:lastRenderedPageBreak/>
        <w:t>2 Referencial teórico</w:t>
      </w:r>
    </w:p>
    <w:p w14:paraId="4B368AE6" w14:textId="77777777" w:rsidR="0093139A" w:rsidRDefault="00000000">
      <w:pPr>
        <w:spacing w:after="200" w:line="300" w:lineRule="auto"/>
        <w:ind w:firstLine="700"/>
        <w:jc w:val="both"/>
      </w:pPr>
      <w:r>
        <w:rPr>
          <w:rFonts w:ascii="Calibri" w:eastAsia="Calibri" w:hAnsi="Calibri" w:cs="Calibri"/>
          <w:sz w:val="22"/>
          <w:szCs w:val="22"/>
        </w:rPr>
        <w:t>Este referencial articula três eixos complementares: a avaliação por competências na Educação Profissional, os fundamentos e os limites da Teoria de Resposta ao Item e o uso de Learning Analytics e Inteligência Artificial Generativa para personalização pedagógica. A sequência abaixo apresenta cada eixo e sua contribuição direta à arquitetura do SIDEP-CE.</w:t>
      </w:r>
    </w:p>
    <w:p w14:paraId="067B6F5A" w14:textId="77777777" w:rsidR="0093139A" w:rsidRDefault="00000000">
      <w:pPr>
        <w:pStyle w:val="Ttulo2"/>
        <w:spacing w:before="300" w:after="150"/>
      </w:pPr>
      <w:r>
        <w:rPr>
          <w:rFonts w:ascii="Calibri" w:eastAsia="Calibri" w:hAnsi="Calibri" w:cs="Calibri"/>
          <w:b/>
          <w:bCs/>
        </w:rPr>
        <w:t>2.1 Avaliação por competências na Educação Profissional</w:t>
      </w:r>
    </w:p>
    <w:p w14:paraId="486B8259" w14:textId="77777777" w:rsidR="0093139A" w:rsidRDefault="00000000">
      <w:pPr>
        <w:spacing w:after="200" w:line="300" w:lineRule="auto"/>
        <w:ind w:firstLine="700"/>
        <w:jc w:val="both"/>
      </w:pPr>
      <w:r>
        <w:rPr>
          <w:rFonts w:ascii="Calibri" w:eastAsia="Calibri" w:hAnsi="Calibri" w:cs="Calibri"/>
          <w:sz w:val="22"/>
          <w:szCs w:val="22"/>
        </w:rPr>
        <w:t>A Educação Profissional e Tecnológica não se limita à transmissão de conteúdos. Seu compromisso é formar sujeitos capazes de mobilizar conhecimentos, habilidades, atitudes e valores em situações de trabalho e de vida social. A avaliação por competências, portanto, deve observar a capacidade do estudante de interpretar problemas, escolher procedimentos, executar tarefas, justificar decisões, comunicar resultados e atuar com responsabilidade técnica, ética e segurança. No contexto dos cursos técnicos integrados, essa avaliação precisa dialogar com a formação geral: a leitura técnica, a matemática aplicada, a interpretação de gráficos, a comunicação profissional e o raciocínio lógico são condições para o desempenho técnico. Assim, uma matriz avaliativa da EPT deve integrar competências gerais e competências profissionais, evitando a fragmentação entre disciplinas da base comum e componentes técnicos.</w:t>
      </w:r>
    </w:p>
    <w:p w14:paraId="5F746214" w14:textId="77777777" w:rsidR="0093139A" w:rsidRDefault="00000000">
      <w:pPr>
        <w:pStyle w:val="Ttulo2"/>
        <w:spacing w:before="300" w:after="150"/>
      </w:pPr>
      <w:r>
        <w:rPr>
          <w:rFonts w:ascii="Calibri" w:eastAsia="Calibri" w:hAnsi="Calibri" w:cs="Calibri"/>
          <w:b/>
          <w:bCs/>
        </w:rPr>
        <w:t>2.2 Teoria de Resposta ao Item e seus limites em contextos de baixo volume amostral</w:t>
      </w:r>
    </w:p>
    <w:p w14:paraId="0EE379A0" w14:textId="77777777" w:rsidR="0093139A" w:rsidRDefault="00000000">
      <w:pPr>
        <w:spacing w:after="200" w:line="300" w:lineRule="auto"/>
        <w:ind w:firstLine="700"/>
        <w:jc w:val="both"/>
      </w:pPr>
      <w:r>
        <w:rPr>
          <w:rFonts w:ascii="Calibri" w:eastAsia="Calibri" w:hAnsi="Calibri" w:cs="Calibri"/>
          <w:sz w:val="22"/>
          <w:szCs w:val="22"/>
        </w:rPr>
        <w:t>Além da mobilização de competências, a produção de evidências avaliativas depende de um modelo de mensuração consistente. A Teoria de Resposta ao Item (TRI) oferece contribuição relevante nesse sentido, por permitir estimar a proficiência do respondente com base no padrão de respostas e nas propriedades dos itens — dificuldade, discriminação e, em modelos de três parâmetros, probabilidade de acerto casual —, e não apenas na contagem bruta de acertos. Esse princípio é amplamente utilizado em avaliações educacionais de larga escala, como Saeb, Enem e SPAECE, permitindo construir escalas comparáveis entre edições e interpretar resultados por níveis de desempenho.</w:t>
      </w:r>
    </w:p>
    <w:p w14:paraId="47BDB93B" w14:textId="77777777" w:rsidR="0093139A" w:rsidRDefault="00000000">
      <w:pPr>
        <w:spacing w:after="200" w:line="300" w:lineRule="auto"/>
        <w:ind w:firstLine="700"/>
        <w:jc w:val="both"/>
      </w:pPr>
      <w:r>
        <w:rPr>
          <w:rFonts w:ascii="Calibri" w:eastAsia="Calibri" w:hAnsi="Calibri" w:cs="Calibri"/>
          <w:sz w:val="22"/>
          <w:szCs w:val="22"/>
        </w:rPr>
        <w:t xml:space="preserve">A adaptação da TRI à EPT exige, todavia, cuidado metodológico duplo. Em primeiro lugar, cursos técnicos envolvem tarefas práticas, protocolos, atitudes profissionais e resolução de situações reais ou simuladas — dimensões que não se reduzem a itens de múltipla escolha e que exigem rubricas de desempenho como complemento aos itens calibráveis. Em segundo lugar, e de modo menos discutido na literatura aplicada à EPT, a calibração de itens por modelos de dois ou três parâmetros costuma exigir amostras da ordem de centenas de respondentes por item para produzir estimativas estáveis. Modelos de um parâmetro (Rasch) são mais tolerantes a amostras menores, mas ainda pressupõem volume de aplicação que uma primeira rodada de cursos-piloto, isoladamente, dificilmente atinge. Por essa razão, este artigo trata a TRI como horizonte metodológico do método proposto, e não como resultado imediatamente disponível. A primeira fase de aplicação opera, portanto, com estatística descritiva e análise clássica dos itens (Teoria Clássica dos Testes), </w:t>
      </w:r>
      <w:r>
        <w:rPr>
          <w:rFonts w:ascii="Calibri" w:eastAsia="Calibri" w:hAnsi="Calibri" w:cs="Calibri"/>
          <w:sz w:val="22"/>
          <w:szCs w:val="22"/>
        </w:rPr>
        <w:lastRenderedPageBreak/>
        <w:t>constituindo o banco de dados necessário a uma calibração TRI posterior, à medida que o volume de respostas cresce.</w:t>
      </w:r>
    </w:p>
    <w:p w14:paraId="5477D88F" w14:textId="77777777" w:rsidR="0093139A" w:rsidRDefault="00000000">
      <w:pPr>
        <w:pStyle w:val="Ttulo2"/>
        <w:spacing w:before="300" w:after="150"/>
      </w:pPr>
      <w:r>
        <w:rPr>
          <w:rFonts w:ascii="Calibri" w:eastAsia="Calibri" w:hAnsi="Calibri" w:cs="Calibri"/>
          <w:b/>
          <w:bCs/>
        </w:rPr>
        <w:t>2.3 Learning Analytics e Inteligência Artificial Generativa como apoio à personalização</w:t>
      </w:r>
    </w:p>
    <w:p w14:paraId="14BBD4C5" w14:textId="77777777" w:rsidR="0093139A" w:rsidRDefault="00000000">
      <w:pPr>
        <w:spacing w:after="200" w:line="300" w:lineRule="auto"/>
        <w:ind w:firstLine="700"/>
        <w:jc w:val="both"/>
      </w:pPr>
      <w:r>
        <w:rPr>
          <w:rFonts w:ascii="Calibri" w:eastAsia="Calibri" w:hAnsi="Calibri" w:cs="Calibri"/>
          <w:sz w:val="22"/>
          <w:szCs w:val="22"/>
        </w:rPr>
        <w:t>Sob essa perspectiva psicométrica, cabe ainda considerar como os dados gerados pela avaliação podem ser transformados em ação pedagógica. Learning Analytics refere-se à mensuração, coleta, análise e apresentação de dados sobre estudantes e seus contextos, com a finalidade de compreender e otimizar a aprendizagem. Aplicado à EPT, esse campo permite transformar resultados avaliativos em informação acionável para professores e gestores, sob a premissa de que cada resultado deve gerar uma consequência pedagógica — recomposição, aprofundamento, reagrupamento, intervenção prática ou revisão curricular. Essa perspectiva é especialmente relevante na avaliação de percurso: se a avaliação ocorre apenas ao final do curso, sua capacidade de melhorar a trajetória do estudante é limitada.</w:t>
      </w:r>
    </w:p>
    <w:p w14:paraId="04DE55D9" w14:textId="77777777" w:rsidR="0093139A" w:rsidRDefault="00000000">
      <w:pPr>
        <w:spacing w:after="200" w:line="300" w:lineRule="auto"/>
        <w:ind w:firstLine="700"/>
        <w:jc w:val="both"/>
      </w:pPr>
      <w:r>
        <w:rPr>
          <w:rFonts w:ascii="Calibri" w:eastAsia="Calibri" w:hAnsi="Calibri" w:cs="Calibri"/>
          <w:sz w:val="22"/>
          <w:szCs w:val="22"/>
        </w:rPr>
        <w:t>Consequentemente, a Inteligência Artificial Generativa pode apoiar essa personalização, desde que inserida em desenho pedagógico responsável. Na proposta aqui apresentada, a IA não ocupa o lugar do professor nem define sozinha o julgamento avaliativo; sua função é apoiar a produção de atividades por descritor, trilhas de recomposição, simulados equivalentes e relatórios preliminares, sempre sujeitos a revisão humana. Isso exige governança ética dos dados: proteção de dados pessoais, minimização de informações sensíveis — com atenção à Lei Geral de Proteção de Dados, Lei nº 13.709/2018, já que parte dos estudantes da EPT integrada ao Ensino Médio é menor de idade —, transparência no uso dos resultados e não rotulação permanente dos estudantes.</w:t>
      </w:r>
    </w:p>
    <w:p w14:paraId="609015DC" w14:textId="77777777" w:rsidR="0093139A" w:rsidRDefault="00000000">
      <w:pPr>
        <w:pStyle w:val="Ttulo1"/>
        <w:spacing w:before="300" w:after="150"/>
      </w:pPr>
      <w:r>
        <w:rPr>
          <w:rFonts w:ascii="Calibri" w:eastAsia="Calibri" w:hAnsi="Calibri" w:cs="Calibri"/>
          <w:b/>
          <w:bCs/>
        </w:rPr>
        <w:t>3 A lacuna metodológica do SINAEPT: base normativa da proposta</w:t>
      </w:r>
    </w:p>
    <w:p w14:paraId="12A38353" w14:textId="77777777" w:rsidR="0093139A" w:rsidRDefault="00000000">
      <w:pPr>
        <w:spacing w:after="200" w:line="300" w:lineRule="auto"/>
        <w:ind w:firstLine="700"/>
        <w:jc w:val="both"/>
      </w:pPr>
      <w:r>
        <w:rPr>
          <w:rFonts w:ascii="Calibri" w:eastAsia="Calibri" w:hAnsi="Calibri" w:cs="Calibri"/>
          <w:sz w:val="22"/>
          <w:szCs w:val="22"/>
        </w:rPr>
        <w:t>Nesse contexto conceitual, a justificativa normativa desta proposta apoia-se em um conjunto verificado de marcos legais e curriculares. A Lei nº 14.945/2024 reestruturou o Ensino Médio nacional, definindo formação geral básica de 2.100 horas mais até 300 horas de aprofundamento técnico para a EPT — 2.400 horas no ensino regular —, base da carga horária das matrizes 2025/2026 da SEDUC-CE. A Lei nº 15.388/2026 instituiu o novo Plano Nacional de Educação, decênio 2026-2036, com meta explícita de expansão e melhoria da qualidade da educação profissional técnica de nível médio. A Resolução CNE/CEB nº 4/2025 instituiu os Parâmetros Nacionais para os Itinerários Formativos de Aprofundamento do Ensino Médio, um dos quais é o eixo Ensino Técnico e Profissional.</w:t>
      </w:r>
    </w:p>
    <w:p w14:paraId="25F1B7EF" w14:textId="77777777" w:rsidR="0093139A" w:rsidRDefault="00000000">
      <w:pPr>
        <w:spacing w:after="200" w:line="300" w:lineRule="auto"/>
        <w:ind w:firstLine="700"/>
        <w:jc w:val="both"/>
      </w:pPr>
      <w:r>
        <w:rPr>
          <w:rFonts w:ascii="Calibri" w:eastAsia="Calibri" w:hAnsi="Calibri" w:cs="Calibri"/>
          <w:sz w:val="22"/>
          <w:szCs w:val="22"/>
        </w:rPr>
        <w:t xml:space="preserve">O marco de maior relevância direta para esta proposta, contudo, é o Decreto nº 12.603, de 28 de agosto de 2025, que instituiu a Política Nacional de Educação Profissional e Tecnológica (PNEPT) e, em seu Capítulo V, criou o Sistema Nacional de Avaliação da Educação Profissional e Tecnológica (SINAEPT), coordenado pelo Inep. O art. 19 do referido Decreto estabelece as dimensões avaliativas do SINAEPT: (I) condições institucionais de oferta; (II) estatísticas de oferta, fluxo e rendimento; (III) avaliação, com fins diagnósticos, dos conhecimentos, das competências e das habilidades práticas </w:t>
      </w:r>
      <w:r>
        <w:rPr>
          <w:rFonts w:ascii="Calibri" w:eastAsia="Calibri" w:hAnsi="Calibri" w:cs="Calibri"/>
          <w:sz w:val="22"/>
          <w:szCs w:val="22"/>
        </w:rPr>
        <w:lastRenderedPageBreak/>
        <w:t>desenvolvidas nos cursos; (IV) articulação da oferta com as demandas do mundo do trabalho; e (V) acompanhamento da inserção dos egressos.</w:t>
      </w:r>
    </w:p>
    <w:p w14:paraId="452A08D1" w14:textId="77777777" w:rsidR="0093139A" w:rsidRDefault="00000000">
      <w:pPr>
        <w:spacing w:after="200" w:line="300" w:lineRule="auto"/>
        <w:ind w:firstLine="700"/>
        <w:jc w:val="both"/>
      </w:pPr>
      <w:r>
        <w:rPr>
          <w:rFonts w:ascii="Calibri" w:eastAsia="Calibri" w:hAnsi="Calibri" w:cs="Calibri"/>
          <w:sz w:val="22"/>
          <w:szCs w:val="22"/>
        </w:rPr>
        <w:t>O Decreto 12.603/2025 institui, assim, a obrigação de avaliar diagnosticamente competências e habilidades práticas, mas não define o método pelo qual essa avaliação deve ocorrer — delegando essa definição, na prática, aos entes federativos e às redes de ensino. É exatamente essa lacuna metodológica que o SIDEP-CE se propõe a preencher em nível estadual: uma operacionalização, no Ceará, da dimensão III do SINAEPT. O art. 12 do mesmo Decreto reforça que o Catálogo Nacional de Cursos Técnicos (CNCT) orienta a organização dos cursos e itinerários por eixo tecnológico, base já incorporada à arquitetura curricular do método.</w:t>
      </w:r>
    </w:p>
    <w:p w14:paraId="78A10E38" w14:textId="77777777" w:rsidR="0093139A" w:rsidRDefault="00000000">
      <w:pPr>
        <w:spacing w:after="200" w:line="300" w:lineRule="auto"/>
        <w:ind w:firstLine="700"/>
        <w:jc w:val="both"/>
      </w:pPr>
      <w:r>
        <w:rPr>
          <w:rFonts w:ascii="Calibri" w:eastAsia="Calibri" w:hAnsi="Calibri" w:cs="Calibri"/>
          <w:sz w:val="22"/>
          <w:szCs w:val="22"/>
        </w:rPr>
        <w:t>Por fim, no que se refere à modalidade de oferta, o método distingue educação híbrida de Educação a Distância (EaD), com base no Parecer CNE/CP nº 20/2024, que orienta o desenvolvimento da Educação Híbrida na Educação Básica — etapa que inclui a EPT técnica de nível médio. Nessa distinção normativa, a educação híbrida é compreendida como metodologia flexível de ensino mediada por tecnologias, e não como uma modalidade regulada equivalente à EaD, esta regulada desde a Resolução CNE/CEB nº 1/2016. O Ceará integra formalmente a Rede de Inovação para a Educação Híbrida do Ministério da Educação, o que situa a proposta como parte de uma estratégia já em curso na rede estadual, e não como iniciativa isolada.</w:t>
      </w:r>
    </w:p>
    <w:p w14:paraId="55AB6172" w14:textId="77777777" w:rsidR="0093139A" w:rsidRDefault="00000000">
      <w:pPr>
        <w:pStyle w:val="Ttulo3"/>
        <w:spacing w:before="300" w:after="150"/>
      </w:pPr>
      <w:r>
        <w:rPr>
          <w:rFonts w:ascii="Calibri" w:eastAsia="Calibri" w:hAnsi="Calibri" w:cs="Calibri"/>
          <w:b/>
          <w:bCs/>
        </w:rPr>
        <w:t>Quadro 1 — Base normativa verificada da proposta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300"/>
      </w:tblGrid>
      <w:tr w:rsidR="0093139A" w14:paraId="3ACB0C69" w14:textId="77777777">
        <w:tblPrEx>
          <w:tblCellMar>
            <w:top w:w="0" w:type="dxa"/>
            <w:bottom w:w="0" w:type="dxa"/>
          </w:tblCellMar>
        </w:tblPrEx>
        <w:trPr>
          <w:tblHeader/>
        </w:trPr>
        <w:tc>
          <w:tcPr>
            <w:tcW w:w="2700" w:type="dxa"/>
            <w:tcBorders>
              <w:top w:val="single" w:sz="4" w:space="0" w:color="8A99A8"/>
              <w:left w:val="single" w:sz="4" w:space="0" w:color="8A99A8"/>
              <w:bottom w:val="single" w:sz="4" w:space="0" w:color="8A99A8"/>
              <w:right w:val="single" w:sz="4" w:space="0" w:color="8A99A8"/>
            </w:tcBorders>
            <w:shd w:val="clear" w:color="auto" w:fill="1F3864"/>
            <w:tcMar>
              <w:top w:w="100" w:type="dxa"/>
              <w:left w:w="120" w:type="dxa"/>
              <w:bottom w:w="100" w:type="dxa"/>
              <w:right w:w="120" w:type="dxa"/>
            </w:tcMar>
            <w:vAlign w:val="center"/>
          </w:tcPr>
          <w:p w14:paraId="2AC629DB" w14:textId="77777777" w:rsidR="0093139A" w:rsidRDefault="00000000">
            <w:r>
              <w:rPr>
                <w:rFonts w:ascii="Calibri" w:eastAsia="Calibri" w:hAnsi="Calibri" w:cs="Calibri"/>
                <w:b/>
                <w:bCs/>
                <w:color w:val="FFFFFF"/>
                <w:sz w:val="18"/>
                <w:szCs w:val="18"/>
              </w:rPr>
              <w:t>Norma</w:t>
            </w:r>
          </w:p>
        </w:tc>
        <w:tc>
          <w:tcPr>
            <w:tcW w:w="6300" w:type="dxa"/>
            <w:tcBorders>
              <w:top w:val="single" w:sz="4" w:space="0" w:color="8A99A8"/>
              <w:left w:val="single" w:sz="4" w:space="0" w:color="8A99A8"/>
              <w:bottom w:val="single" w:sz="4" w:space="0" w:color="8A99A8"/>
              <w:right w:val="single" w:sz="4" w:space="0" w:color="8A99A8"/>
            </w:tcBorders>
            <w:shd w:val="clear" w:color="auto" w:fill="1F3864"/>
            <w:tcMar>
              <w:top w:w="100" w:type="dxa"/>
              <w:left w:w="120" w:type="dxa"/>
              <w:bottom w:w="100" w:type="dxa"/>
              <w:right w:w="120" w:type="dxa"/>
            </w:tcMar>
            <w:vAlign w:val="center"/>
          </w:tcPr>
          <w:p w14:paraId="0F408F6D" w14:textId="77777777" w:rsidR="0093139A" w:rsidRDefault="00000000">
            <w:r>
              <w:rPr>
                <w:rFonts w:ascii="Calibri" w:eastAsia="Calibri" w:hAnsi="Calibri" w:cs="Calibri"/>
                <w:b/>
                <w:bCs/>
                <w:color w:val="FFFFFF"/>
                <w:sz w:val="18"/>
                <w:szCs w:val="18"/>
              </w:rPr>
              <w:t>Contribuição para o SIDEP-CE</w:t>
            </w:r>
          </w:p>
        </w:tc>
      </w:tr>
      <w:tr w:rsidR="0093139A" w14:paraId="07B84C2E" w14:textId="77777777">
        <w:tblPrEx>
          <w:tblCellMar>
            <w:top w:w="0" w:type="dxa"/>
            <w:bottom w:w="0" w:type="dxa"/>
          </w:tblCellMar>
        </w:tblPrEx>
        <w:tc>
          <w:tcPr>
            <w:tcW w:w="2700" w:type="dxa"/>
            <w:tcBorders>
              <w:top w:val="single" w:sz="4" w:space="0" w:color="8A99A8"/>
              <w:left w:val="single" w:sz="4" w:space="0" w:color="8A99A8"/>
              <w:bottom w:val="single" w:sz="4" w:space="0" w:color="8A99A8"/>
              <w:right w:val="single" w:sz="4" w:space="0" w:color="8A99A8"/>
            </w:tcBorders>
            <w:tcMar>
              <w:top w:w="100" w:type="dxa"/>
              <w:left w:w="120" w:type="dxa"/>
              <w:bottom w:w="100" w:type="dxa"/>
              <w:right w:w="120" w:type="dxa"/>
            </w:tcMar>
            <w:vAlign w:val="center"/>
          </w:tcPr>
          <w:p w14:paraId="1AA7DA62" w14:textId="77777777" w:rsidR="0093139A" w:rsidRDefault="00000000">
            <w:r>
              <w:rPr>
                <w:rFonts w:ascii="Calibri" w:eastAsia="Calibri" w:hAnsi="Calibri" w:cs="Calibri"/>
                <w:color w:val="1A1A1A"/>
                <w:sz w:val="18"/>
                <w:szCs w:val="18"/>
              </w:rPr>
              <w:t>Lei nº 14.945/2024</w:t>
            </w:r>
          </w:p>
        </w:tc>
        <w:tc>
          <w:tcPr>
            <w:tcW w:w="6300" w:type="dxa"/>
            <w:tcBorders>
              <w:top w:val="single" w:sz="4" w:space="0" w:color="8A99A8"/>
              <w:left w:val="single" w:sz="4" w:space="0" w:color="8A99A8"/>
              <w:bottom w:val="single" w:sz="4" w:space="0" w:color="8A99A8"/>
              <w:right w:val="single" w:sz="4" w:space="0" w:color="8A99A8"/>
            </w:tcBorders>
            <w:tcMar>
              <w:top w:w="100" w:type="dxa"/>
              <w:left w:w="120" w:type="dxa"/>
              <w:bottom w:w="100" w:type="dxa"/>
              <w:right w:w="120" w:type="dxa"/>
            </w:tcMar>
            <w:vAlign w:val="center"/>
          </w:tcPr>
          <w:p w14:paraId="3471AAF5" w14:textId="77777777" w:rsidR="0093139A" w:rsidRDefault="00000000">
            <w:r>
              <w:rPr>
                <w:rFonts w:ascii="Calibri" w:eastAsia="Calibri" w:hAnsi="Calibri" w:cs="Calibri"/>
                <w:color w:val="1A1A1A"/>
                <w:sz w:val="18"/>
                <w:szCs w:val="18"/>
              </w:rPr>
              <w:t>Base legal da carga horária das matrizes curriculares da EPT integrada.</w:t>
            </w:r>
          </w:p>
        </w:tc>
      </w:tr>
      <w:tr w:rsidR="0093139A" w14:paraId="3FFFB7C6" w14:textId="77777777">
        <w:tblPrEx>
          <w:tblCellMar>
            <w:top w:w="0" w:type="dxa"/>
            <w:bottom w:w="0" w:type="dxa"/>
          </w:tblCellMar>
        </w:tblPrEx>
        <w:tc>
          <w:tcPr>
            <w:tcW w:w="2700" w:type="dxa"/>
            <w:tcBorders>
              <w:top w:val="single" w:sz="4" w:space="0" w:color="8A99A8"/>
              <w:left w:val="single" w:sz="4" w:space="0" w:color="8A99A8"/>
              <w:bottom w:val="single" w:sz="4" w:space="0" w:color="8A99A8"/>
              <w:right w:val="single" w:sz="4" w:space="0" w:color="8A99A8"/>
            </w:tcBorders>
            <w:shd w:val="clear" w:color="auto" w:fill="F2F4F7"/>
            <w:tcMar>
              <w:top w:w="100" w:type="dxa"/>
              <w:left w:w="120" w:type="dxa"/>
              <w:bottom w:w="100" w:type="dxa"/>
              <w:right w:w="120" w:type="dxa"/>
            </w:tcMar>
            <w:vAlign w:val="center"/>
          </w:tcPr>
          <w:p w14:paraId="444F25A7" w14:textId="77777777" w:rsidR="0093139A" w:rsidRDefault="00000000">
            <w:r>
              <w:rPr>
                <w:rFonts w:ascii="Calibri" w:eastAsia="Calibri" w:hAnsi="Calibri" w:cs="Calibri"/>
                <w:color w:val="1A1A1A"/>
                <w:sz w:val="18"/>
                <w:szCs w:val="18"/>
              </w:rPr>
              <w:t>Decreto nº 12.603/2025</w:t>
            </w:r>
          </w:p>
        </w:tc>
        <w:tc>
          <w:tcPr>
            <w:tcW w:w="6300" w:type="dxa"/>
            <w:tcBorders>
              <w:top w:val="single" w:sz="4" w:space="0" w:color="8A99A8"/>
              <w:left w:val="single" w:sz="4" w:space="0" w:color="8A99A8"/>
              <w:bottom w:val="single" w:sz="4" w:space="0" w:color="8A99A8"/>
              <w:right w:val="single" w:sz="4" w:space="0" w:color="8A99A8"/>
            </w:tcBorders>
            <w:shd w:val="clear" w:color="auto" w:fill="F2F4F7"/>
            <w:tcMar>
              <w:top w:w="100" w:type="dxa"/>
              <w:left w:w="120" w:type="dxa"/>
              <w:bottom w:w="100" w:type="dxa"/>
              <w:right w:w="120" w:type="dxa"/>
            </w:tcMar>
            <w:vAlign w:val="center"/>
          </w:tcPr>
          <w:p w14:paraId="2B644033" w14:textId="77777777" w:rsidR="0093139A" w:rsidRDefault="00000000">
            <w:r>
              <w:rPr>
                <w:rFonts w:ascii="Calibri" w:eastAsia="Calibri" w:hAnsi="Calibri" w:cs="Calibri"/>
                <w:color w:val="1A1A1A"/>
                <w:sz w:val="18"/>
                <w:szCs w:val="18"/>
              </w:rPr>
              <w:t>Institui a PNEPT e o SINAEPT; art. 19 define as dimensões avaliativas nacionais que o SIDEP-CE operacionaliza em nível estadual.</w:t>
            </w:r>
          </w:p>
        </w:tc>
      </w:tr>
      <w:tr w:rsidR="0093139A" w14:paraId="1023D199" w14:textId="77777777">
        <w:tblPrEx>
          <w:tblCellMar>
            <w:top w:w="0" w:type="dxa"/>
            <w:bottom w:w="0" w:type="dxa"/>
          </w:tblCellMar>
        </w:tblPrEx>
        <w:tc>
          <w:tcPr>
            <w:tcW w:w="2700" w:type="dxa"/>
            <w:tcBorders>
              <w:top w:val="single" w:sz="4" w:space="0" w:color="8A99A8"/>
              <w:left w:val="single" w:sz="4" w:space="0" w:color="8A99A8"/>
              <w:bottom w:val="single" w:sz="4" w:space="0" w:color="8A99A8"/>
              <w:right w:val="single" w:sz="4" w:space="0" w:color="8A99A8"/>
            </w:tcBorders>
            <w:tcMar>
              <w:top w:w="100" w:type="dxa"/>
              <w:left w:w="120" w:type="dxa"/>
              <w:bottom w:w="100" w:type="dxa"/>
              <w:right w:w="120" w:type="dxa"/>
            </w:tcMar>
            <w:vAlign w:val="center"/>
          </w:tcPr>
          <w:p w14:paraId="5039F933" w14:textId="77777777" w:rsidR="0093139A" w:rsidRDefault="00000000">
            <w:r>
              <w:rPr>
                <w:rFonts w:ascii="Calibri" w:eastAsia="Calibri" w:hAnsi="Calibri" w:cs="Calibri"/>
                <w:color w:val="1A1A1A"/>
                <w:sz w:val="18"/>
                <w:szCs w:val="18"/>
              </w:rPr>
              <w:t>Lei nº 15.388/2026 (PNE 2026-2036)</w:t>
            </w:r>
          </w:p>
        </w:tc>
        <w:tc>
          <w:tcPr>
            <w:tcW w:w="6300" w:type="dxa"/>
            <w:tcBorders>
              <w:top w:val="single" w:sz="4" w:space="0" w:color="8A99A8"/>
              <w:left w:val="single" w:sz="4" w:space="0" w:color="8A99A8"/>
              <w:bottom w:val="single" w:sz="4" w:space="0" w:color="8A99A8"/>
              <w:right w:val="single" w:sz="4" w:space="0" w:color="8A99A8"/>
            </w:tcBorders>
            <w:tcMar>
              <w:top w:w="100" w:type="dxa"/>
              <w:left w:w="120" w:type="dxa"/>
              <w:bottom w:w="100" w:type="dxa"/>
              <w:right w:w="120" w:type="dxa"/>
            </w:tcMar>
            <w:vAlign w:val="center"/>
          </w:tcPr>
          <w:p w14:paraId="5B1A044D" w14:textId="77777777" w:rsidR="0093139A" w:rsidRDefault="00000000">
            <w:r>
              <w:rPr>
                <w:rFonts w:ascii="Calibri" w:eastAsia="Calibri" w:hAnsi="Calibri" w:cs="Calibri"/>
                <w:color w:val="1A1A1A"/>
                <w:sz w:val="18"/>
                <w:szCs w:val="18"/>
              </w:rPr>
              <w:t>Estabelece meta de expansão e melhoria da qualidade da EPT técnica de nível médio.</w:t>
            </w:r>
          </w:p>
        </w:tc>
      </w:tr>
      <w:tr w:rsidR="0093139A" w14:paraId="362CF1D5" w14:textId="77777777">
        <w:tblPrEx>
          <w:tblCellMar>
            <w:top w:w="0" w:type="dxa"/>
            <w:bottom w:w="0" w:type="dxa"/>
          </w:tblCellMar>
        </w:tblPrEx>
        <w:tc>
          <w:tcPr>
            <w:tcW w:w="2700" w:type="dxa"/>
            <w:tcBorders>
              <w:top w:val="single" w:sz="4" w:space="0" w:color="8A99A8"/>
              <w:left w:val="single" w:sz="4" w:space="0" w:color="8A99A8"/>
              <w:bottom w:val="single" w:sz="4" w:space="0" w:color="8A99A8"/>
              <w:right w:val="single" w:sz="4" w:space="0" w:color="8A99A8"/>
            </w:tcBorders>
            <w:shd w:val="clear" w:color="auto" w:fill="F2F4F7"/>
            <w:tcMar>
              <w:top w:w="100" w:type="dxa"/>
              <w:left w:w="120" w:type="dxa"/>
              <w:bottom w:w="100" w:type="dxa"/>
              <w:right w:w="120" w:type="dxa"/>
            </w:tcMar>
            <w:vAlign w:val="center"/>
          </w:tcPr>
          <w:p w14:paraId="492C82F8" w14:textId="77777777" w:rsidR="0093139A" w:rsidRDefault="00000000">
            <w:r>
              <w:rPr>
                <w:rFonts w:ascii="Calibri" w:eastAsia="Calibri" w:hAnsi="Calibri" w:cs="Calibri"/>
                <w:color w:val="1A1A1A"/>
                <w:sz w:val="18"/>
                <w:szCs w:val="18"/>
              </w:rPr>
              <w:t>Resolução CNE/CEB nº 4/2025</w:t>
            </w:r>
          </w:p>
        </w:tc>
        <w:tc>
          <w:tcPr>
            <w:tcW w:w="6300" w:type="dxa"/>
            <w:tcBorders>
              <w:top w:val="single" w:sz="4" w:space="0" w:color="8A99A8"/>
              <w:left w:val="single" w:sz="4" w:space="0" w:color="8A99A8"/>
              <w:bottom w:val="single" w:sz="4" w:space="0" w:color="8A99A8"/>
              <w:right w:val="single" w:sz="4" w:space="0" w:color="8A99A8"/>
            </w:tcBorders>
            <w:shd w:val="clear" w:color="auto" w:fill="F2F4F7"/>
            <w:tcMar>
              <w:top w:w="100" w:type="dxa"/>
              <w:left w:w="120" w:type="dxa"/>
              <w:bottom w:w="100" w:type="dxa"/>
              <w:right w:w="120" w:type="dxa"/>
            </w:tcMar>
            <w:vAlign w:val="center"/>
          </w:tcPr>
          <w:p w14:paraId="4BA93A43" w14:textId="77777777" w:rsidR="0093139A" w:rsidRDefault="00000000">
            <w:r>
              <w:rPr>
                <w:rFonts w:ascii="Calibri" w:eastAsia="Calibri" w:hAnsi="Calibri" w:cs="Calibri"/>
                <w:color w:val="1A1A1A"/>
                <w:sz w:val="18"/>
                <w:szCs w:val="18"/>
              </w:rPr>
              <w:t>Parâmetros dos Itinerários Formativos de Aprofundamento, incluindo o eixo Ensino Técnico e Profissional.</w:t>
            </w:r>
          </w:p>
        </w:tc>
      </w:tr>
      <w:tr w:rsidR="0093139A" w14:paraId="5601CED0" w14:textId="77777777">
        <w:tblPrEx>
          <w:tblCellMar>
            <w:top w:w="0" w:type="dxa"/>
            <w:bottom w:w="0" w:type="dxa"/>
          </w:tblCellMar>
        </w:tblPrEx>
        <w:tc>
          <w:tcPr>
            <w:tcW w:w="2700" w:type="dxa"/>
            <w:tcBorders>
              <w:top w:val="single" w:sz="4" w:space="0" w:color="8A99A8"/>
              <w:left w:val="single" w:sz="4" w:space="0" w:color="8A99A8"/>
              <w:bottom w:val="single" w:sz="4" w:space="0" w:color="8A99A8"/>
              <w:right w:val="single" w:sz="4" w:space="0" w:color="8A99A8"/>
            </w:tcBorders>
            <w:tcMar>
              <w:top w:w="100" w:type="dxa"/>
              <w:left w:w="120" w:type="dxa"/>
              <w:bottom w:w="100" w:type="dxa"/>
              <w:right w:w="120" w:type="dxa"/>
            </w:tcMar>
            <w:vAlign w:val="center"/>
          </w:tcPr>
          <w:p w14:paraId="75465BE1" w14:textId="77777777" w:rsidR="0093139A" w:rsidRDefault="00000000">
            <w:r>
              <w:rPr>
                <w:rFonts w:ascii="Calibri" w:eastAsia="Calibri" w:hAnsi="Calibri" w:cs="Calibri"/>
                <w:color w:val="1A1A1A"/>
                <w:sz w:val="18"/>
                <w:szCs w:val="18"/>
              </w:rPr>
              <w:t>CNCT — Catálogo Nacional de Cursos Técnicos</w:t>
            </w:r>
          </w:p>
        </w:tc>
        <w:tc>
          <w:tcPr>
            <w:tcW w:w="6300" w:type="dxa"/>
            <w:tcBorders>
              <w:top w:val="single" w:sz="4" w:space="0" w:color="8A99A8"/>
              <w:left w:val="single" w:sz="4" w:space="0" w:color="8A99A8"/>
              <w:bottom w:val="single" w:sz="4" w:space="0" w:color="8A99A8"/>
              <w:right w:val="single" w:sz="4" w:space="0" w:color="8A99A8"/>
            </w:tcBorders>
            <w:tcMar>
              <w:top w:w="100" w:type="dxa"/>
              <w:left w:w="120" w:type="dxa"/>
              <w:bottom w:w="100" w:type="dxa"/>
              <w:right w:w="120" w:type="dxa"/>
            </w:tcMar>
            <w:vAlign w:val="center"/>
          </w:tcPr>
          <w:p w14:paraId="273FCF56" w14:textId="77777777" w:rsidR="0093139A" w:rsidRDefault="00000000">
            <w:r>
              <w:rPr>
                <w:rFonts w:ascii="Calibri" w:eastAsia="Calibri" w:hAnsi="Calibri" w:cs="Calibri"/>
                <w:color w:val="1A1A1A"/>
                <w:sz w:val="18"/>
                <w:szCs w:val="18"/>
              </w:rPr>
              <w:t>Base de organização por eixo tecnológico (art. 12 do Decreto nº 12.603/2025).</w:t>
            </w:r>
          </w:p>
        </w:tc>
      </w:tr>
      <w:tr w:rsidR="0093139A" w14:paraId="2CBB39FC" w14:textId="77777777">
        <w:tblPrEx>
          <w:tblCellMar>
            <w:top w:w="0" w:type="dxa"/>
            <w:bottom w:w="0" w:type="dxa"/>
          </w:tblCellMar>
        </w:tblPrEx>
        <w:tc>
          <w:tcPr>
            <w:tcW w:w="2700" w:type="dxa"/>
            <w:tcBorders>
              <w:top w:val="single" w:sz="4" w:space="0" w:color="8A99A8"/>
              <w:left w:val="single" w:sz="4" w:space="0" w:color="8A99A8"/>
              <w:bottom w:val="single" w:sz="4" w:space="0" w:color="8A99A8"/>
              <w:right w:val="single" w:sz="4" w:space="0" w:color="8A99A8"/>
            </w:tcBorders>
            <w:shd w:val="clear" w:color="auto" w:fill="F2F4F7"/>
            <w:tcMar>
              <w:top w:w="100" w:type="dxa"/>
              <w:left w:w="120" w:type="dxa"/>
              <w:bottom w:w="100" w:type="dxa"/>
              <w:right w:w="120" w:type="dxa"/>
            </w:tcMar>
            <w:vAlign w:val="center"/>
          </w:tcPr>
          <w:p w14:paraId="1E67E0B9" w14:textId="77777777" w:rsidR="0093139A" w:rsidRDefault="00000000">
            <w:r>
              <w:rPr>
                <w:rFonts w:ascii="Calibri" w:eastAsia="Calibri" w:hAnsi="Calibri" w:cs="Calibri"/>
                <w:color w:val="1A1A1A"/>
                <w:sz w:val="18"/>
                <w:szCs w:val="18"/>
              </w:rPr>
              <w:t>Parecer CNE/CP nº 20/2024</w:t>
            </w:r>
          </w:p>
        </w:tc>
        <w:tc>
          <w:tcPr>
            <w:tcW w:w="6300" w:type="dxa"/>
            <w:tcBorders>
              <w:top w:val="single" w:sz="4" w:space="0" w:color="8A99A8"/>
              <w:left w:val="single" w:sz="4" w:space="0" w:color="8A99A8"/>
              <w:bottom w:val="single" w:sz="4" w:space="0" w:color="8A99A8"/>
              <w:right w:val="single" w:sz="4" w:space="0" w:color="8A99A8"/>
            </w:tcBorders>
            <w:shd w:val="clear" w:color="auto" w:fill="F2F4F7"/>
            <w:tcMar>
              <w:top w:w="100" w:type="dxa"/>
              <w:left w:w="120" w:type="dxa"/>
              <w:bottom w:w="100" w:type="dxa"/>
              <w:right w:w="120" w:type="dxa"/>
            </w:tcMar>
            <w:vAlign w:val="center"/>
          </w:tcPr>
          <w:p w14:paraId="1224E6E9" w14:textId="77777777" w:rsidR="0093139A" w:rsidRDefault="00000000">
            <w:r>
              <w:rPr>
                <w:rFonts w:ascii="Calibri" w:eastAsia="Calibri" w:hAnsi="Calibri" w:cs="Calibri"/>
                <w:color w:val="1A1A1A"/>
                <w:sz w:val="18"/>
                <w:szCs w:val="18"/>
              </w:rPr>
              <w:t>Orienta a Educação Híbrida na Educação Básica, distinguindo-a da EaD (Resolução CNE/CEB nº 1/2016).</w:t>
            </w:r>
          </w:p>
        </w:tc>
      </w:tr>
    </w:tbl>
    <w:p w14:paraId="25AC3B03" w14:textId="77777777" w:rsidR="0093139A" w:rsidRDefault="00000000">
      <w:pPr>
        <w:spacing w:before="100" w:after="300"/>
      </w:pPr>
      <w:r>
        <w:rPr>
          <w:rFonts w:ascii="Calibri" w:eastAsia="Calibri" w:hAnsi="Calibri" w:cs="Calibri"/>
          <w:i/>
          <w:iCs/>
          <w:sz w:val="18"/>
          <w:szCs w:val="18"/>
        </w:rPr>
        <w:t>Fonte: elaborado pelo(a) autor(a) a partir da legislação federal vigente (2026).</w:t>
      </w:r>
    </w:p>
    <w:p w14:paraId="5B6099FC" w14:textId="77777777" w:rsidR="0093139A" w:rsidRDefault="00000000">
      <w:pPr>
        <w:pStyle w:val="Ttulo1"/>
        <w:spacing w:before="300" w:after="150"/>
      </w:pPr>
      <w:r>
        <w:rPr>
          <w:rFonts w:ascii="Calibri" w:eastAsia="Calibri" w:hAnsi="Calibri" w:cs="Calibri"/>
          <w:b/>
          <w:bCs/>
        </w:rPr>
        <w:t>4 Proposta metodológica: arquitetura do SIDEP-CE</w:t>
      </w:r>
    </w:p>
    <w:p w14:paraId="240045B8" w14:textId="77777777" w:rsidR="0093139A" w:rsidRDefault="00000000">
      <w:pPr>
        <w:spacing w:after="200" w:line="300" w:lineRule="auto"/>
        <w:ind w:firstLine="700"/>
        <w:jc w:val="both"/>
      </w:pPr>
      <w:r>
        <w:rPr>
          <w:rFonts w:ascii="Calibri" w:eastAsia="Calibri" w:hAnsi="Calibri" w:cs="Calibri"/>
          <w:sz w:val="22"/>
          <w:szCs w:val="22"/>
        </w:rPr>
        <w:t>A partir desse enquadramento normativo, o SIDEP-CE é concebido como um método de avaliação técnica organizado em ciclos. Cada ciclo parte da matriz curricular do curso, identifica competências, constrói descritores, elabora instrumentos, aplica avaliações, analisa resultados e gera intervenções pedagógicas. A proposta é escalável, mas prevê início por cursos-piloto para validação conceitual e psicométrica progressiva.</w:t>
      </w:r>
    </w:p>
    <w:p w14:paraId="397F7045" w14:textId="77777777" w:rsidR="0093139A" w:rsidRDefault="00000000">
      <w:pPr>
        <w:pStyle w:val="Ttulo2"/>
        <w:spacing w:before="300" w:after="150"/>
      </w:pPr>
      <w:r>
        <w:rPr>
          <w:rFonts w:ascii="Calibri" w:eastAsia="Calibri" w:hAnsi="Calibri" w:cs="Calibri"/>
          <w:b/>
          <w:bCs/>
        </w:rPr>
        <w:lastRenderedPageBreak/>
        <w:t>4.1 Dimensões avaliativas</w:t>
      </w:r>
    </w:p>
    <w:p w14:paraId="6902EB65" w14:textId="77777777" w:rsidR="0093139A" w:rsidRDefault="00000000">
      <w:pPr>
        <w:spacing w:after="200" w:line="300" w:lineRule="auto"/>
        <w:ind w:firstLine="700"/>
        <w:jc w:val="both"/>
      </w:pPr>
      <w:r>
        <w:rPr>
          <w:rFonts w:ascii="Calibri" w:eastAsia="Calibri" w:hAnsi="Calibri" w:cs="Calibri"/>
          <w:sz w:val="22"/>
          <w:szCs w:val="22"/>
        </w:rPr>
        <w:t>A matriz do método organiza seis dimensões avaliativas: formação geral aplicada, competências técnicas específicas, prática profissional, mundo do trabalho, condições de oferta e permanência/progressão. Essas dimensões guardam correspondência direta com as cinco dimensões do SINAEPT (art. 19 do Decreto nº 12.603/2025), acrescidas de um desdobramento específico da EPT técnica: a separação entre competências técnicas específicas e prática profissional, que diferencia conhecimento de execução.</w:t>
      </w:r>
    </w:p>
    <w:p w14:paraId="300D63D9" w14:textId="77777777" w:rsidR="0093139A" w:rsidRDefault="00000000">
      <w:pPr>
        <w:pStyle w:val="Ttulo2"/>
        <w:spacing w:before="300" w:after="150"/>
      </w:pPr>
      <w:r>
        <w:rPr>
          <w:rFonts w:ascii="Calibri" w:eastAsia="Calibri" w:hAnsi="Calibri" w:cs="Calibri"/>
          <w:b/>
          <w:bCs/>
        </w:rPr>
        <w:t>4.2 Momentos de aplicação</w:t>
      </w:r>
    </w:p>
    <w:p w14:paraId="0CBC53BA" w14:textId="77777777" w:rsidR="0093139A" w:rsidRDefault="00000000">
      <w:pPr>
        <w:spacing w:after="200" w:line="300" w:lineRule="auto"/>
        <w:ind w:firstLine="700"/>
        <w:jc w:val="both"/>
      </w:pPr>
      <w:r>
        <w:rPr>
          <w:rFonts w:ascii="Calibri" w:eastAsia="Calibri" w:hAnsi="Calibri" w:cs="Calibri"/>
          <w:sz w:val="22"/>
          <w:szCs w:val="22"/>
        </w:rPr>
        <w:t>A avaliação de entrada ocorre no início do curso ou da série, com foco em pré-requisitos e conhecimentos iniciais. Já a avaliação de percurso ocorre ao final de módulos, semestres ou unidades curriculares estratégicas, com objetivo diagnóstico, não classificatório: seus resultados devem indicar descritores frágeis, grupos de recomposição e necessidades de reorganização didática. Por fim, a avaliação de saída ocorre antes da conclusão do curso, estágio final ou apresentação de projeto integrador, combinando prova técnica, situação-problema, rubrica prática e evidência de projeto ou estágio, para verificar a aproximação do estudante ao perfil profissional de conclusão previsto no CNCT.</w:t>
      </w:r>
    </w:p>
    <w:p w14:paraId="2FE4BC85" w14:textId="77777777" w:rsidR="0093139A" w:rsidRDefault="00000000">
      <w:pPr>
        <w:pStyle w:val="Ttulo2"/>
        <w:spacing w:before="300" w:after="150"/>
      </w:pPr>
      <w:r>
        <w:rPr>
          <w:rFonts w:ascii="Calibri" w:eastAsia="Calibri" w:hAnsi="Calibri" w:cs="Calibri"/>
          <w:b/>
          <w:bCs/>
        </w:rPr>
        <w:t>4.3 Papel da Inteligência Artificial Generativa</w:t>
      </w:r>
    </w:p>
    <w:p w14:paraId="75210BC3" w14:textId="77777777" w:rsidR="0093139A" w:rsidRDefault="00000000">
      <w:pPr>
        <w:spacing w:after="200" w:line="300" w:lineRule="auto"/>
        <w:ind w:firstLine="700"/>
        <w:jc w:val="both"/>
      </w:pPr>
      <w:r>
        <w:rPr>
          <w:rFonts w:ascii="Calibri" w:eastAsia="Calibri" w:hAnsi="Calibri" w:cs="Calibri"/>
          <w:sz w:val="22"/>
          <w:szCs w:val="22"/>
        </w:rPr>
        <w:t>A IA Generativa é empregada como apoio à produção de atividades por descritor, trilhas de recomposição e simulados equivalentes a partir dos resultados da avaliação de percurso, sempre sob revisão docente. Dados enviados a ferramentas de IA devem ser agregados por descritor e nível de proficiência, nunca identificadores individuais dos estudantes — princípio de minimização coerente com a LGPD. A decisão pedagógica final permanece, assim, sob responsabilidade do professor: a IA amplia a capacidade de gerar variações de atividade, mas não substitui o julgamento docente.</w:t>
      </w:r>
    </w:p>
    <w:p w14:paraId="0FCD22B1" w14:textId="77777777" w:rsidR="0093139A" w:rsidRDefault="00000000">
      <w:pPr>
        <w:pStyle w:val="Ttulo2"/>
        <w:spacing w:before="300" w:after="150"/>
      </w:pPr>
      <w:r>
        <w:rPr>
          <w:rFonts w:ascii="Calibri" w:eastAsia="Calibri" w:hAnsi="Calibri" w:cs="Calibri"/>
          <w:b/>
          <w:bCs/>
        </w:rPr>
        <w:t>4.4 Trajetória de validação psicométrica</w:t>
      </w:r>
    </w:p>
    <w:p w14:paraId="4BB894AD" w14:textId="77777777" w:rsidR="0093139A" w:rsidRDefault="00000000">
      <w:pPr>
        <w:spacing w:after="200" w:line="300" w:lineRule="auto"/>
        <w:ind w:firstLine="700"/>
        <w:jc w:val="both"/>
      </w:pPr>
      <w:r>
        <w:rPr>
          <w:rFonts w:ascii="Calibri" w:eastAsia="Calibri" w:hAnsi="Calibri" w:cs="Calibri"/>
          <w:sz w:val="22"/>
          <w:szCs w:val="22"/>
        </w:rPr>
        <w:t>A validação psicométrica é proposta em etapas progressivas. Na primeira aplicação, a análise observa qualidade dos itens, distribuição de respostas, índice de acerto e aderência dos descritores à matriz curricular — fase pré-TRI, cujo objetivo é formar o banco de dados necessário à calibração posterior. Na segunda etapa, com maior volume de respostas, os itens são analisados quanto à dificuldade e à capacidade de discriminação, com revisão ou exclusão de itens muito fáceis, muito difíceis ou pouco relacionados ao descritor. Itens-âncora permitem, nessa fase, comparar aplicações distintas. Na terceira etapa, a escala de proficiência técnica pode ser consolidada por curso e, progressivamente, por eixo tecnológico, preservando duas camadas de comparabilidade: geral, por eixo, e específica, por curso.</w:t>
      </w:r>
    </w:p>
    <w:p w14:paraId="032C896B" w14:textId="77777777" w:rsidR="0093139A" w:rsidRDefault="00000000">
      <w:pPr>
        <w:pStyle w:val="Ttulo2"/>
        <w:spacing w:before="300" w:after="150"/>
      </w:pPr>
      <w:r>
        <w:rPr>
          <w:rFonts w:ascii="Calibri" w:eastAsia="Calibri" w:hAnsi="Calibri" w:cs="Calibri"/>
          <w:b/>
          <w:bCs/>
        </w:rPr>
        <w:t>4.5 SIDEP-CE em diálogo com modelos avaliativos já consolidados</w:t>
      </w:r>
    </w:p>
    <w:p w14:paraId="5EA075CE" w14:textId="77777777" w:rsidR="0093139A" w:rsidRDefault="00000000">
      <w:pPr>
        <w:spacing w:after="200" w:line="300" w:lineRule="auto"/>
        <w:ind w:firstLine="700"/>
        <w:jc w:val="both"/>
      </w:pPr>
      <w:r>
        <w:rPr>
          <w:rFonts w:ascii="Calibri" w:eastAsia="Calibri" w:hAnsi="Calibri" w:cs="Calibri"/>
          <w:sz w:val="22"/>
          <w:szCs w:val="22"/>
        </w:rPr>
        <w:t xml:space="preserve">Vale situar a proposta em relação a modelos avaliativos já estabelecidos, sem pretender revisão bibliográfica extensa. O Saeb e o Enem consolidaram, desde a década de 1990, o uso da TRI </w:t>
      </w:r>
      <w:r>
        <w:rPr>
          <w:rFonts w:ascii="Calibri" w:eastAsia="Calibri" w:hAnsi="Calibri" w:cs="Calibri"/>
          <w:sz w:val="22"/>
          <w:szCs w:val="22"/>
        </w:rPr>
        <w:lastRenderedPageBreak/>
        <w:t>para produzir escalas de proficiência comparáveis em larga escala. Ambos, contudo, concentram-se em componentes da formação geral — língua portuguesa, matemática e áreas afins —, sem instrumento equivalente voltado a competências técnicas específicas. Avaliações por competências já praticadas na EPT, por sua vez, costumam adotar rubricas, portfólios e avaliação de desempenho prático, com forte validade pedagógica, mas raramente produzem escalas psicométricas comparáveis entre turmas, cursos ou eixos tecnológicos. O SIDEP-CE situa-se exatamente nesse intervalo: propõe integrar o rigor psicométrico já consolidado pelo Saeb e pelo Enem à validade pedagógica das rubricas e evidências práticas típicas da avaliação por competências na EPT, aplicando essa integração a um objeto que nenhum desses modelos cobre — a competência técnica profissional, diagnosticada de forma contínua ao longo do curso, e não apenas certificada ao final dele.</w:t>
      </w:r>
    </w:p>
    <w:p w14:paraId="4CD458EC" w14:textId="77777777" w:rsidR="0093139A" w:rsidRDefault="00000000">
      <w:pPr>
        <w:pStyle w:val="Ttulo1"/>
        <w:spacing w:before="300" w:after="150"/>
      </w:pPr>
      <w:r>
        <w:rPr>
          <w:rFonts w:ascii="Calibri" w:eastAsia="Calibri" w:hAnsi="Calibri" w:cs="Calibri"/>
          <w:b/>
          <w:bCs/>
        </w:rPr>
        <w:t>5 Considerações finais e limitações</w:t>
      </w:r>
    </w:p>
    <w:p w14:paraId="09643499" w14:textId="77777777" w:rsidR="0093139A" w:rsidRDefault="00000000">
      <w:pPr>
        <w:spacing w:after="200" w:line="300" w:lineRule="auto"/>
        <w:ind w:firstLine="700"/>
        <w:jc w:val="both"/>
      </w:pPr>
      <w:r>
        <w:rPr>
          <w:rFonts w:ascii="Calibri" w:eastAsia="Calibri" w:hAnsi="Calibri" w:cs="Calibri"/>
          <w:sz w:val="22"/>
          <w:szCs w:val="22"/>
        </w:rPr>
        <w:t>Este artigo apresentou a fundamentação teórica, a base normativa e a arquitetura metodológica do SIDEP-CE, um método de avaliação técnica para a Educação Profissional do Ceará que articula avaliação por competências, Teoria de Resposta ao Item e Inteligência Artificial Generativa. A principal contribuição da proposta é situar-se como resposta a uma lacuna metodológica explícita do Decreto federal nº 12.603/2025: a obrigação de avaliar diagnosticamente competências técnicas, sem que a norma federal defina como fazê-lo.</w:t>
      </w:r>
    </w:p>
    <w:p w14:paraId="64428368" w14:textId="77777777" w:rsidR="0093139A" w:rsidRDefault="00000000">
      <w:pPr>
        <w:spacing w:after="200" w:line="300" w:lineRule="auto"/>
        <w:ind w:firstLine="700"/>
        <w:jc w:val="both"/>
      </w:pPr>
      <w:r>
        <w:rPr>
          <w:rFonts w:ascii="Calibri" w:eastAsia="Calibri" w:hAnsi="Calibri" w:cs="Calibri"/>
          <w:sz w:val="22"/>
          <w:szCs w:val="22"/>
        </w:rPr>
        <w:t>É preciso registrar, com a mesma clareza com que a proposta é defendida, os limites deste texto. Em primeiro lugar, o método ainda não foi aplicado empiricamente: não há dados de desempenho discente, e este artigo não sustenta qualquer afirmação sobre eficácia, evolução de proficiência ou validade preditiva — afirmações que só poderão ser feitas após a aplicação piloto e a análise dos dados coletados. Em segundo lugar, a calibração por TRI depende de volume amostral que uma primeira rodada de cursos-piloto dificilmente reúne; o horizonte realista da primeira aplicação é a análise clássica dos itens, não a escala TRI plenamente calibrada. Em terceiro lugar, o uso de IA Generativa exige protocolo de governança de dados ainda a ser detalhado operacionalmente para a rede estadual, incluindo auditoria e prazos de resposta institucional às devolutivas — sem os quais o risco de a avaliação se tornar apenas burocracia adicional é real.</w:t>
      </w:r>
    </w:p>
    <w:p w14:paraId="66B824F7" w14:textId="77777777" w:rsidR="0093139A" w:rsidRDefault="00000000">
      <w:pPr>
        <w:spacing w:after="200" w:line="300" w:lineRule="auto"/>
        <w:ind w:firstLine="700"/>
        <w:jc w:val="both"/>
      </w:pPr>
      <w:r>
        <w:rPr>
          <w:rFonts w:ascii="Calibri" w:eastAsia="Calibri" w:hAnsi="Calibri" w:cs="Calibri"/>
          <w:sz w:val="22"/>
          <w:szCs w:val="22"/>
        </w:rPr>
        <w:t>Como agenda futura, a aplicação piloto em um curso técnico da rede estadual — com análise clássica dos itens e avaliação de usabilidade e adesão docente — constitui o passo necessário para que a proposta avance de arquitetura conceitual a sistema validado empiricamente. Mais do que uma alternativa técnica, o SIDEP-CE representa um convite a repensar, a partir do chão da escola profissionalizante cearense, o que significa avaliar competência técnica em uma política nacional que já reconhece a necessidade dessa medida, mas ainda não indicou o caminho para realizá-la.</w:t>
      </w:r>
    </w:p>
    <w:p w14:paraId="416EFF0F" w14:textId="77777777" w:rsidR="0093139A" w:rsidRDefault="00000000">
      <w:pPr>
        <w:pStyle w:val="Ttulo1"/>
        <w:spacing w:before="300" w:after="150"/>
      </w:pPr>
      <w:r>
        <w:rPr>
          <w:rFonts w:ascii="Calibri" w:eastAsia="Calibri" w:hAnsi="Calibri" w:cs="Calibri"/>
          <w:b/>
          <w:bCs/>
        </w:rPr>
        <w:t>Referências</w:t>
      </w:r>
    </w:p>
    <w:p w14:paraId="5A3BA86E" w14:textId="77777777" w:rsidR="0093139A" w:rsidRDefault="00000000">
      <w:pPr>
        <w:spacing w:after="160" w:line="276" w:lineRule="auto"/>
      </w:pPr>
      <w:r>
        <w:rPr>
          <w:rFonts w:ascii="Calibri" w:eastAsia="Calibri" w:hAnsi="Calibri" w:cs="Calibri"/>
        </w:rPr>
        <w:t>BLOOM, B. S. The 2 sigma problem: the search for methods of group instruction as effective as one-to-one tutoring. Educational Researcher, v. 13, n. 6, p. 4-16, 1984.</w:t>
      </w:r>
    </w:p>
    <w:p w14:paraId="3DB976D4" w14:textId="77777777" w:rsidR="0093139A" w:rsidRDefault="00000000">
      <w:pPr>
        <w:spacing w:after="160" w:line="276" w:lineRule="auto"/>
      </w:pPr>
      <w:r>
        <w:rPr>
          <w:rFonts w:ascii="Calibri" w:eastAsia="Calibri" w:hAnsi="Calibri" w:cs="Calibri"/>
        </w:rPr>
        <w:lastRenderedPageBreak/>
        <w:t>BRASIL. Lei nº 9.394, de 20 de dezembro de 1996. Estabelece as diretrizes e bases da educação nacional. Brasília: Presidência da República, 1996.</w:t>
      </w:r>
    </w:p>
    <w:p w14:paraId="0F1067F4" w14:textId="77777777" w:rsidR="0093139A" w:rsidRDefault="00000000">
      <w:pPr>
        <w:spacing w:after="160" w:line="276" w:lineRule="auto"/>
      </w:pPr>
      <w:r>
        <w:rPr>
          <w:rFonts w:ascii="Calibri" w:eastAsia="Calibri" w:hAnsi="Calibri" w:cs="Calibri"/>
        </w:rPr>
        <w:t>BRASIL. Lei nº 13.709, de 14 de agosto de 2018. Lei Geral de Proteção de Dados Pessoais (LGPD). Brasília: Presidência da República, 2018.</w:t>
      </w:r>
    </w:p>
    <w:p w14:paraId="0370B351" w14:textId="77777777" w:rsidR="0093139A" w:rsidRDefault="00000000">
      <w:pPr>
        <w:spacing w:after="160" w:line="276" w:lineRule="auto"/>
      </w:pPr>
      <w:r>
        <w:rPr>
          <w:rFonts w:ascii="Calibri" w:eastAsia="Calibri" w:hAnsi="Calibri" w:cs="Calibri"/>
        </w:rPr>
        <w:t>BRASIL. Conselho Nacional de Educação. Resolução CNE/CEB nº 1, de 2 de fevereiro de 2016. Define Diretrizes Operacionais Nacionais para a oferta de Ensino Médio e Educação Profissional Técnica de Nível Médio na modalidade Educação a Distância. Brasília: MEC/CNE, 2016.</w:t>
      </w:r>
    </w:p>
    <w:p w14:paraId="159BDC55" w14:textId="77777777" w:rsidR="0093139A" w:rsidRDefault="00000000">
      <w:pPr>
        <w:spacing w:after="160" w:line="276" w:lineRule="auto"/>
      </w:pPr>
      <w:r>
        <w:rPr>
          <w:rFonts w:ascii="Calibri" w:eastAsia="Calibri" w:hAnsi="Calibri" w:cs="Calibri"/>
        </w:rPr>
        <w:t>BRASIL. Conselho Nacional de Educação. Parecer CNE/CP nº 20, de 2 de julho de 2024. Orientações para o desenvolvimento da Educação Híbrida na Educação Básica. Brasília: MEC/CNE, 2024.</w:t>
      </w:r>
    </w:p>
    <w:p w14:paraId="17605B4F" w14:textId="77777777" w:rsidR="0093139A" w:rsidRDefault="00000000">
      <w:pPr>
        <w:spacing w:after="160" w:line="276" w:lineRule="auto"/>
      </w:pPr>
      <w:r>
        <w:rPr>
          <w:rFonts w:ascii="Calibri" w:eastAsia="Calibri" w:hAnsi="Calibri" w:cs="Calibri"/>
        </w:rPr>
        <w:t>BRASIL. Lei nº 14.945, de 31 de julho de 2024. Altera a Lei nº 9.394/1996 e estabelece diretrizes para a Política Nacional de Ensino Médio. Brasília: Presidência da República, 2024.</w:t>
      </w:r>
    </w:p>
    <w:p w14:paraId="669BA28A" w14:textId="77777777" w:rsidR="0093139A" w:rsidRDefault="00000000">
      <w:pPr>
        <w:spacing w:after="160" w:line="276" w:lineRule="auto"/>
      </w:pPr>
      <w:r>
        <w:rPr>
          <w:rFonts w:ascii="Calibri" w:eastAsia="Calibri" w:hAnsi="Calibri" w:cs="Calibri"/>
        </w:rPr>
        <w:t>BRASIL. Conselho Nacional de Educação. Resolução CNE/CEB nº 4, de 12 de maio de 2025. Institui os Parâmetros Nacionais para a Oferta dos Itinerários Formativos de Aprofundamento no Ensino Médio. Brasília: MEC/CNE, 2025.</w:t>
      </w:r>
    </w:p>
    <w:p w14:paraId="7BB774DA" w14:textId="77777777" w:rsidR="0093139A" w:rsidRDefault="00000000">
      <w:pPr>
        <w:spacing w:after="160" w:line="276" w:lineRule="auto"/>
      </w:pPr>
      <w:r>
        <w:rPr>
          <w:rFonts w:ascii="Calibri" w:eastAsia="Calibri" w:hAnsi="Calibri" w:cs="Calibri"/>
        </w:rPr>
        <w:t>BRASIL. Decreto nº 12.603, de 28 de agosto de 2025. Institui a Política Nacional de Educação Profissional e Tecnológica e o Sistema Nacional de Avaliação da Educação Profissional e Tecnológica. Brasília: Presidência da República, 2025.</w:t>
      </w:r>
    </w:p>
    <w:p w14:paraId="480ABE8A" w14:textId="77777777" w:rsidR="0093139A" w:rsidRDefault="00000000">
      <w:pPr>
        <w:spacing w:after="160" w:line="276" w:lineRule="auto"/>
      </w:pPr>
      <w:r>
        <w:rPr>
          <w:rFonts w:ascii="Calibri" w:eastAsia="Calibri" w:hAnsi="Calibri" w:cs="Calibri"/>
        </w:rPr>
        <w:t>BRASIL. Lei nº 15.388, de 14 de abril de 2026. Aprova o Plano Nacional de Educação para o decênio 2026-2036. Brasília: Presidência da República, 2026.</w:t>
      </w:r>
    </w:p>
    <w:p w14:paraId="5F3C8AF9" w14:textId="77777777" w:rsidR="0093139A" w:rsidRDefault="00000000">
      <w:pPr>
        <w:spacing w:after="160" w:line="276" w:lineRule="auto"/>
      </w:pPr>
      <w:r>
        <w:rPr>
          <w:rFonts w:ascii="Calibri" w:eastAsia="Calibri" w:hAnsi="Calibri" w:cs="Calibri"/>
        </w:rPr>
        <w:t>CEARÁ. Secretaria da Educação do Estado do Ceará. Caderno de Matrizes 2026: Escolas Estaduais de Educação Profissional. Fortaleza: SEDUC/COEDP/CEDET, 2026.</w:t>
      </w:r>
    </w:p>
    <w:p w14:paraId="30AC604E" w14:textId="77777777" w:rsidR="0093139A" w:rsidRDefault="00000000">
      <w:pPr>
        <w:spacing w:after="160" w:line="276" w:lineRule="auto"/>
      </w:pPr>
      <w:r>
        <w:rPr>
          <w:rFonts w:ascii="Calibri" w:eastAsia="Calibri" w:hAnsi="Calibri" w:cs="Calibri"/>
        </w:rPr>
        <w:t>CEARÁ. Secretaria da Educação do Estado do Ceará. Documento Curricular Referencial do Ceará. Fortaleza: SEDUC-CE, s.d.</w:t>
      </w:r>
    </w:p>
    <w:p w14:paraId="5FF74EC0" w14:textId="77777777" w:rsidR="0093139A" w:rsidRDefault="00000000">
      <w:pPr>
        <w:spacing w:after="160" w:line="276" w:lineRule="auto"/>
      </w:pPr>
      <w:r>
        <w:rPr>
          <w:rFonts w:ascii="Calibri" w:eastAsia="Calibri" w:hAnsi="Calibri" w:cs="Calibri"/>
        </w:rPr>
        <w:t>GAŠEVIĆ, D.; DAWSON, S.; SIEMENS, G. Let's not forget: learning analytics are about learning. TechTrends, v. 59, n. 1, p. 64-71, 2015.</w:t>
      </w:r>
    </w:p>
    <w:p w14:paraId="2D95015B" w14:textId="77777777" w:rsidR="0093139A" w:rsidRDefault="00000000">
      <w:pPr>
        <w:spacing w:after="160" w:line="276" w:lineRule="auto"/>
      </w:pPr>
      <w:r>
        <w:rPr>
          <w:rFonts w:ascii="Calibri" w:eastAsia="Calibri" w:hAnsi="Calibri" w:cs="Calibri"/>
        </w:rPr>
        <w:t>HOLMES, W.; BIALIK, M.; FADEL, C. Artificial Intelligence in Education: promises and implications for teaching and learning. Boston: Center for Curriculum Redesign, 2019.</w:t>
      </w:r>
    </w:p>
    <w:p w14:paraId="4861BF39" w14:textId="77777777" w:rsidR="0093139A" w:rsidRDefault="00000000">
      <w:pPr>
        <w:spacing w:after="160" w:line="276" w:lineRule="auto"/>
      </w:pPr>
      <w:r>
        <w:rPr>
          <w:rFonts w:ascii="Calibri" w:eastAsia="Calibri" w:hAnsi="Calibri" w:cs="Calibri"/>
        </w:rPr>
        <w:t>INEP. Avaliação da Educação Profissional e Tecnológica. Brasília: Instituto Nacional de Estudos e Pesquisas Educacionais Anísio Teixeira, 2026.</w:t>
      </w:r>
    </w:p>
    <w:p w14:paraId="68F1CC44" w14:textId="77777777" w:rsidR="0093139A" w:rsidRDefault="00000000">
      <w:pPr>
        <w:spacing w:after="160" w:line="276" w:lineRule="auto"/>
      </w:pPr>
      <w:r>
        <w:rPr>
          <w:rFonts w:ascii="Calibri" w:eastAsia="Calibri" w:hAnsi="Calibri" w:cs="Calibri"/>
        </w:rPr>
        <w:t>LANG, C.; SIEMENS, G.; WISE, A.; GAŠEVIĆ, D. (org.). Handbook of Learning Analytics. New York: Society for Learning Analytics Research, 2017.</w:t>
      </w:r>
    </w:p>
    <w:p w14:paraId="1F362F63" w14:textId="77777777" w:rsidR="0093139A" w:rsidRDefault="00000000">
      <w:pPr>
        <w:spacing w:after="160" w:line="276" w:lineRule="auto"/>
      </w:pPr>
      <w:r>
        <w:rPr>
          <w:rFonts w:ascii="Calibri" w:eastAsia="Calibri" w:hAnsi="Calibri" w:cs="Calibri"/>
        </w:rPr>
        <w:t>LUCKIN, R.; HOLMES, W.; GRIFFITHS, M.; FORCIER, L. B. Intelligence Unleashed: an argument for AI in Education. London: Pearson, 2016.</w:t>
      </w:r>
    </w:p>
    <w:p w14:paraId="7CC4A4E7" w14:textId="77777777" w:rsidR="0093139A" w:rsidRDefault="00000000">
      <w:pPr>
        <w:spacing w:after="160" w:line="276" w:lineRule="auto"/>
      </w:pPr>
      <w:r>
        <w:rPr>
          <w:rFonts w:ascii="Calibri" w:eastAsia="Calibri" w:hAnsi="Calibri" w:cs="Calibri"/>
        </w:rPr>
        <w:t>PASQUALI, L. Psicometria: teoria dos testes na psicologia e na educação. 5. ed. Petrópolis: Vozes, 2013.</w:t>
      </w:r>
    </w:p>
    <w:p w14:paraId="1EF73E1C" w14:textId="77777777" w:rsidR="0093139A" w:rsidRDefault="00000000">
      <w:pPr>
        <w:spacing w:after="160" w:line="276" w:lineRule="auto"/>
      </w:pPr>
      <w:r>
        <w:rPr>
          <w:rFonts w:ascii="Calibri" w:eastAsia="Calibri" w:hAnsi="Calibri" w:cs="Calibri"/>
        </w:rPr>
        <w:t>PASQUALI, L. TRI: Teoria de Resposta ao Item: teoria, procedimentos e aplicações. Curitiba: Appris, 2018.</w:t>
      </w:r>
    </w:p>
    <w:p w14:paraId="0E168C52" w14:textId="77777777" w:rsidR="0093139A" w:rsidRDefault="00000000">
      <w:pPr>
        <w:spacing w:after="160" w:line="276" w:lineRule="auto"/>
      </w:pPr>
      <w:r>
        <w:rPr>
          <w:rFonts w:ascii="Calibri" w:eastAsia="Calibri" w:hAnsi="Calibri" w:cs="Calibri"/>
        </w:rPr>
        <w:t>PASQUALI, L.; PRIMI, R. Fundamentos da teoria da resposta ao item: TRI. Avaliação Psicológica, v. 2, n. 2, p. 99-110, 2003.</w:t>
      </w:r>
    </w:p>
    <w:p w14:paraId="1211D898" w14:textId="77777777" w:rsidR="0093139A" w:rsidRDefault="00000000">
      <w:pPr>
        <w:spacing w:after="160" w:line="276" w:lineRule="auto"/>
      </w:pPr>
      <w:r>
        <w:rPr>
          <w:rFonts w:ascii="Calibri" w:eastAsia="Calibri" w:hAnsi="Calibri" w:cs="Calibri"/>
        </w:rPr>
        <w:t>SIEMENS, G.; GAŠEVIĆ, D. Guest editorial: learning and knowledge analytics. Educational Technology &amp; Society, v. 15, n. 3, p. 1-2, 2012.</w:t>
      </w:r>
    </w:p>
    <w:sectPr w:rsidR="0093139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B91C64"/>
    <w:multiLevelType w:val="hybridMultilevel"/>
    <w:tmpl w:val="B15E14B4"/>
    <w:lvl w:ilvl="0" w:tplc="7DA24286">
      <w:start w:val="1"/>
      <w:numFmt w:val="bullet"/>
      <w:lvlText w:val="●"/>
      <w:lvlJc w:val="left"/>
      <w:pPr>
        <w:ind w:left="720" w:hanging="360"/>
      </w:pPr>
    </w:lvl>
    <w:lvl w:ilvl="1" w:tplc="83302FAC">
      <w:start w:val="1"/>
      <w:numFmt w:val="bullet"/>
      <w:lvlText w:val="○"/>
      <w:lvlJc w:val="left"/>
      <w:pPr>
        <w:ind w:left="1440" w:hanging="360"/>
      </w:pPr>
    </w:lvl>
    <w:lvl w:ilvl="2" w:tplc="40103ADE">
      <w:start w:val="1"/>
      <w:numFmt w:val="bullet"/>
      <w:lvlText w:val="■"/>
      <w:lvlJc w:val="left"/>
      <w:pPr>
        <w:ind w:left="2160" w:hanging="360"/>
      </w:pPr>
    </w:lvl>
    <w:lvl w:ilvl="3" w:tplc="CA2E01D2">
      <w:start w:val="1"/>
      <w:numFmt w:val="bullet"/>
      <w:lvlText w:val="●"/>
      <w:lvlJc w:val="left"/>
      <w:pPr>
        <w:ind w:left="2880" w:hanging="360"/>
      </w:pPr>
    </w:lvl>
    <w:lvl w:ilvl="4" w:tplc="57B0706C">
      <w:start w:val="1"/>
      <w:numFmt w:val="bullet"/>
      <w:lvlText w:val="○"/>
      <w:lvlJc w:val="left"/>
      <w:pPr>
        <w:ind w:left="3600" w:hanging="360"/>
      </w:pPr>
    </w:lvl>
    <w:lvl w:ilvl="5" w:tplc="4E3CE06A">
      <w:start w:val="1"/>
      <w:numFmt w:val="bullet"/>
      <w:lvlText w:val="■"/>
      <w:lvlJc w:val="left"/>
      <w:pPr>
        <w:ind w:left="4320" w:hanging="360"/>
      </w:pPr>
    </w:lvl>
    <w:lvl w:ilvl="6" w:tplc="BFF499CC">
      <w:start w:val="1"/>
      <w:numFmt w:val="bullet"/>
      <w:lvlText w:val="●"/>
      <w:lvlJc w:val="left"/>
      <w:pPr>
        <w:ind w:left="5040" w:hanging="360"/>
      </w:pPr>
    </w:lvl>
    <w:lvl w:ilvl="7" w:tplc="D45A3BA8">
      <w:start w:val="1"/>
      <w:numFmt w:val="bullet"/>
      <w:lvlText w:val="●"/>
      <w:lvlJc w:val="left"/>
      <w:pPr>
        <w:ind w:left="5760" w:hanging="360"/>
      </w:pPr>
    </w:lvl>
    <w:lvl w:ilvl="8" w:tplc="FDE4D802">
      <w:start w:val="1"/>
      <w:numFmt w:val="bullet"/>
      <w:lvlText w:val="●"/>
      <w:lvlJc w:val="left"/>
      <w:pPr>
        <w:ind w:left="6480" w:hanging="360"/>
      </w:pPr>
    </w:lvl>
  </w:abstractNum>
  <w:num w:numId="1" w16cid:durableId="5459212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139A"/>
    <w:rsid w:val="0093139A"/>
    <w:rsid w:val="00DD5802"/>
    <w:rsid w:val="00ED735C"/>
  </w:rsids>
  <m:mathPr>
    <m:mathFont m:val="Cambria Math"/>
    <m:brkBin m:val="before"/>
    <m:brkBinSub m:val="--"/>
    <m:smallFrac m:val="0"/>
    <m:dispDef/>
    <m:lMargin m:val="0"/>
    <m:rMargin m:val="0"/>
    <m:defJc m:val="centerGroup"/>
    <m:wrapIndent m:val="1440"/>
    <m:intLim m:val="subSup"/>
    <m:naryLim m:val="undOvr"/>
  </m:mathPr>
  <w:themeFontLang w:val="pt-B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0C81A"/>
  <w15:docId w15:val="{2099C8C7-CC91-42FD-B3FC-E4A80ADB4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3849</Words>
  <Characters>20785</Characters>
  <Application>Microsoft Office Word</Application>
  <DocSecurity>0</DocSecurity>
  <Lines>173</Lines>
  <Paragraphs>49</Paragraphs>
  <ScaleCrop>false</ScaleCrop>
  <Company/>
  <LinksUpToDate>false</LinksUpToDate>
  <CharactersWithSpaces>24585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Paulo Henrique Gomes Cordeiro Da Cunha</cp:lastModifiedBy>
  <cp:revision>2</cp:revision>
  <dcterms:created xsi:type="dcterms:W3CDTF">2026-07-03T10:30:00Z</dcterms:created>
  <dcterms:modified xsi:type="dcterms:W3CDTF">2026-07-03T10:33:00Z</dcterms:modified>
</cp:coreProperties>
</file>