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7A3D"/>
          <w:sz w:val="28"/>
        </w:rPr>
        <w:t>SIDEP-CE</w:t>
      </w:r>
    </w:p>
    <w:p>
      <w:pPr>
        <w:spacing w:before="360"/>
      </w:pPr>
      <w:r>
        <w:rPr>
          <w:rFonts w:ascii="Calibri" w:hAnsi="Calibri"/>
          <w:b/>
          <w:color w:val="0B356D"/>
          <w:sz w:val="48"/>
        </w:rPr>
        <w:t>Manual de Uso do SIDEP-CE</w:t>
      </w:r>
    </w:p>
    <w:p>
      <w:r>
        <w:rPr>
          <w:rFonts w:ascii="Calibri" w:hAnsi="Calibri"/>
          <w:color w:val="55667A"/>
          <w:sz w:val="24"/>
        </w:rPr>
        <w:t>Sistema de Diagnóstico da Educação Profissional do Ceará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Versão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sz w:val="20"/>
              </w:rPr>
              <w:t>0.7</w:t>
            </w:r>
          </w:p>
        </w:tc>
      </w:tr>
      <w:tr>
        <w:tc>
          <w:tcPr>
            <w:tcW w:type="dxa" w:w="2304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Data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sz w:val="20"/>
              </w:rPr>
              <w:t>08/07/2026</w:t>
            </w:r>
          </w:p>
        </w:tc>
      </w:tr>
      <w:tr>
        <w:tc>
          <w:tcPr>
            <w:tcW w:type="dxa" w:w="2304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Escopo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sz w:val="20"/>
              </w:rPr>
              <w:t>Piloto controlado, banco de itens, avaliação diagnóstica, relatórios e preparação pré-TRI/TRI.</w:t>
            </w:r>
          </w:p>
        </w:tc>
      </w:tr>
    </w:tbl>
    <w:p/>
    <w:p>
      <w:pPr>
        <w:pStyle w:val="Heading1"/>
      </w:pPr>
      <w:r>
        <w:t>1. Finalidade</w:t>
      </w:r>
    </w:p>
    <w:p>
      <w:r>
        <w:t>O SIDEP-CE é uma plataforma de avaliação diagnóstica da Educação Profissional do Ceará. O sistema organiza cursos técnicos, competências, descritores, banco de itens, avaliações, respostas e relatórios pedagógicos.</w:t>
      </w:r>
    </w:p>
    <w:p>
      <w:r>
        <w:t>O foco não é apenas aplicar prova online. O foco é transformar o desempenho dos estudantes em informação pedagógica para intervenção, recomposição e melhoria da aprendizagem técnica.</w:t>
      </w:r>
    </w:p>
    <w:p>
      <w:pPr>
        <w:pStyle w:val="Heading1"/>
      </w:pPr>
      <w:r>
        <w:t>2. Perfis de Acesso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Perfil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Acesso principal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sz w:val="20"/>
              </w:rPr>
              <w:t>Aluno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Acessa somente a prova por código e nome completo.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sz w:val="20"/>
              </w:rPr>
              <w:t>Professor técnico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Valida itens, cria avaliações e acompanha relatórios das suas aplicações.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sz w:val="20"/>
              </w:rPr>
              <w:t>Coordenador/professor técnico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Acompanha curso, curadoria e uso pedagógico dos dados.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sz w:val="20"/>
              </w:rPr>
              <w:t>Gestão escolar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Acessa professores, avaliações e relatórios da própria escola.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sz w:val="20"/>
              </w:rPr>
              <w:t>CREDE/SEFOR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Acessa escolas e relatórios da própria regional.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sz w:val="20"/>
              </w:rPr>
              <w:t>SEDUC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Acompanha indicadores agregados da rede.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sz w:val="20"/>
              </w:rPr>
              <w:t>Administrador master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Possui acesso total e pode redefinir senhas e executar migrações.</w:t>
            </w:r>
          </w:p>
        </w:tc>
      </w:tr>
    </w:tbl>
    <w:p>
      <w:pPr>
        <w:pStyle w:val="Heading1"/>
      </w:pPr>
      <w:r>
        <w:t>3. Banco de Itens</w:t>
      </w:r>
    </w:p>
    <w:p>
      <w:r>
        <w:t>O banco de itens é organizado por curso técnico, componente curricular, competência, descritor e questão. Competência é uma capacidade ampla; descritor é a evidência avaliável; questão é o item que mede o descritor.</w:t>
      </w:r>
    </w:p>
    <w:p>
      <w:pPr>
        <w:pStyle w:val="ListBullet"/>
      </w:pPr>
      <w:r>
        <w:t>Questões em rascunho ou revisão não entram em avaliação.</w:t>
      </w:r>
    </w:p>
    <w:p>
      <w:pPr>
        <w:pStyle w:val="ListBullet"/>
      </w:pPr>
      <w:r>
        <w:t>Somente questões validadas podem ser usadas em prova.</w:t>
      </w:r>
    </w:p>
    <w:p>
      <w:pPr>
        <w:pStyle w:val="ListBullet"/>
      </w:pPr>
      <w:r>
        <w:t>O professor pode abrir a questão em modal para leitura completa antes de validar.</w:t>
      </w:r>
    </w:p>
    <w:p>
      <w:pPr>
        <w:pStyle w:val="ListBullet"/>
      </w:pPr>
      <w:r>
        <w:t>O sistema bloqueia cadastro de questões duplicadas.</w:t>
      </w:r>
    </w:p>
    <w:p>
      <w:pPr>
        <w:pStyle w:val="Heading1"/>
      </w:pPr>
      <w:r>
        <w:t>4. Exportação Curricular</w:t>
      </w:r>
    </w:p>
    <w:p>
      <w:r>
        <w:t>Na área Banco de Itens, o usuário pode exportar cursos, componentes, competências e descritores em Markdown ou PDF. A exportação pode ser feita para todos os cursos ou para um curso específico.</w:t>
      </w:r>
    </w:p>
    <w:p>
      <w:pPr>
        <w:pStyle w:val="Heading1"/>
      </w:pPr>
      <w:r>
        <w:t>5. Criação e Aplicação da Avaliação</w:t>
      </w:r>
    </w:p>
    <w:p>
      <w:pPr>
        <w:pStyle w:val="ListBullet"/>
      </w:pPr>
      <w:r>
        <w:t>A avaliação deve ter no mínimo 20 e no máximo 80 questões.</w:t>
      </w:r>
    </w:p>
    <w:p>
      <w:pPr>
        <w:pStyle w:val="ListBullet"/>
      </w:pPr>
      <w:r>
        <w:t>O código da avaliação é gerado automaticamente pelo sistema.</w:t>
      </w:r>
    </w:p>
    <w:p>
      <w:pPr>
        <w:pStyle w:val="ListBullet"/>
      </w:pPr>
      <w:r>
        <w:t>Após a abertura, o código fica imutável.</w:t>
      </w:r>
    </w:p>
    <w:p>
      <w:pPr>
        <w:pStyle w:val="ListBullet"/>
      </w:pPr>
      <w:r>
        <w:t>Código usado ou excluído não pode ser reaproveitado.</w:t>
      </w:r>
    </w:p>
    <w:p>
      <w:pPr>
        <w:pStyle w:val="ListBullet"/>
      </w:pPr>
      <w:r>
        <w:t>A prova não pode conter questões duplicadas ou de contexto muito semelhante.</w:t>
      </w:r>
    </w:p>
    <w:p>
      <w:pPr>
        <w:pStyle w:val="ListBullet"/>
      </w:pPr>
      <w:r>
        <w:t>A ordem das questões é embaralhada para cada estudante.</w:t>
      </w:r>
    </w:p>
    <w:p>
      <w:pPr>
        <w:pStyle w:val="Heading1"/>
      </w:pPr>
      <w:r>
        <w:t>6. Relatórios e Pré-TRI</w:t>
      </w:r>
    </w:p>
    <w:p>
      <w:r>
        <w:t>O sistema calcula acertos, percentual bruto, desempenho por descritor, componente e competência. Na fase atual, esses resultados são pré-TRI. A TRI plena dependerá de volume de respostas, itens âncora e calibração psicométrica.</w:t>
      </w:r>
    </w:p>
    <w:p>
      <w:pPr>
        <w:pStyle w:val="Heading1"/>
      </w:pPr>
      <w:r>
        <w:t>7. Uso Online e Cuidados</w:t>
      </w:r>
    </w:p>
    <w:p>
      <w:pPr>
        <w:pStyle w:val="ListBullet"/>
      </w:pPr>
      <w:r>
        <w:t>Configurar VITE_SUPABASE_URL e VITE_SUPABASE_PUBLISHABLE_KEY.</w:t>
      </w:r>
    </w:p>
    <w:p>
      <w:pPr>
        <w:pStyle w:val="ListBullet"/>
      </w:pPr>
      <w:r>
        <w:t>Executar as migrações SQL no Supabase.</w:t>
      </w:r>
    </w:p>
    <w:p>
      <w:pPr>
        <w:pStyle w:val="ListBullet"/>
      </w:pPr>
      <w:r>
        <w:t>Subir a base local pelo perfil Administrador.</w:t>
      </w:r>
    </w:p>
    <w:p>
      <w:pPr>
        <w:pStyle w:val="ListBullet"/>
      </w:pPr>
      <w:r>
        <w:t>Fazer backup semanal em JSON.</w:t>
      </w:r>
    </w:p>
    <w:p>
      <w:pPr>
        <w:pStyle w:val="ListBullet"/>
      </w:pPr>
      <w:r>
        <w:t>Manter o uso como piloto controlado até implementar Supabase Auth, RLS, auditoria e revisão LGPD.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667A"/>
        <w:sz w:val="18"/>
      </w:rPr>
      <w:t>Manual de Uso - SIDEP-CE v0.7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35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35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