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i w:val="0"/>
          <w:color w:val="2E74B5"/>
          <w:sz w:val="26"/>
        </w:rPr>
        <w:t>AISTUDYTEC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50"/>
        </w:rPr>
        <w:t>System Design e Arquitetura</w:t>
      </w:r>
    </w:p>
    <w:p>
      <w:pPr>
        <w:spacing w:before="240"/>
        <w:jc w:val="center"/>
      </w:pPr>
      <w:r>
        <w:rPr>
          <w:rFonts w:ascii="Arial" w:hAnsi="Arial"/>
          <w:b w:val="0"/>
          <w:i/>
          <w:color w:val="667085"/>
          <w:sz w:val="24"/>
        </w:rPr>
        <w:t>Documento mestre • baseline versionável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b/>
          <w:i w:val="0"/>
          <w:color w:val="111827"/>
          <w:sz w:val="22"/>
        </w:rPr>
        <w:t>Fortaleza — CE</w:t>
        <w:br/>
        <w:t>2026</w:t>
      </w:r>
    </w:p>
    <w:p>
      <w:r>
        <w:br w:type="page"/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Versão 1.0 — 21 de julho de 2026</w:t>
      </w:r>
    </w:p>
    <w:p>
      <w:pPr>
        <w:pStyle w:val="Heading1"/>
      </w:pPr>
      <w:r>
        <w:t>1. Objetivo arquitetural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Evoluir o protótipo para uma plataforma testável, segura e modular sem interromper os fluxos existentes. Clean Architecture é aplicada como direção de dependências e separação de responsabilidades, não como multiplicação mecânica de pastas.</w:t>
      </w:r>
    </w:p>
    <w:p>
      <w:pPr>
        <w:pStyle w:val="Heading1"/>
      </w:pPr>
      <w:r>
        <w:t>2. Estado observado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Frontend: React 18, CRA, JavaScript, 13 componentes, navegação por estado e Tailwind compilado localmente.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Backend: Flask, </w:t>
      </w:r>
      <w:r>
        <w:rPr>
          <w:rFonts w:ascii="Consolas" w:hAnsi="Consolas"/>
          <w:b w:val="0"/>
          <w:i w:val="0"/>
          <w:color w:val="344054"/>
          <w:sz w:val="20"/>
        </w:rPr>
        <w:t>sqlite3</w:t>
      </w:r>
      <w:r>
        <w:rPr>
          <w:rFonts w:ascii="Arial" w:hAnsi="Arial"/>
          <w:b w:val="0"/>
          <w:i w:val="0"/>
          <w:color w:val="111827"/>
          <w:sz w:val="21"/>
        </w:rPr>
        <w:t xml:space="preserve">, 23 rotas concentradas em </w:t>
      </w:r>
      <w:r>
        <w:rPr>
          <w:rFonts w:ascii="Consolas" w:hAnsi="Consolas"/>
          <w:b w:val="0"/>
          <w:i w:val="0"/>
          <w:color w:val="344054"/>
          <w:sz w:val="20"/>
        </w:rPr>
        <w:t>app.py</w:t>
      </w:r>
      <w:r>
        <w:rPr>
          <w:rFonts w:ascii="Arial" w:hAnsi="Arial"/>
          <w:b w:val="0"/>
          <w:i w:val="0"/>
          <w:color w:val="111827"/>
          <w:sz w:val="21"/>
        </w:rPr>
        <w:t>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Dados: 12 tabelas incluindo auditoria e trilhas imersivas; migrações aditivas em </w:t>
      </w:r>
      <w:r>
        <w:rPr>
          <w:rFonts w:ascii="Consolas" w:hAnsi="Consolas"/>
          <w:b w:val="0"/>
          <w:i w:val="0"/>
          <w:color w:val="344054"/>
          <w:sz w:val="20"/>
        </w:rPr>
        <w:t>init_db()</w:t>
      </w:r>
      <w:r>
        <w:rPr>
          <w:rFonts w:ascii="Arial" w:hAnsi="Arial"/>
          <w:b w:val="0"/>
          <w:i w:val="0"/>
          <w:color w:val="111827"/>
          <w:sz w:val="21"/>
        </w:rPr>
        <w:t>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Integrações: Gemini e YouTube via </w:t>
      </w:r>
      <w:r>
        <w:rPr>
          <w:rFonts w:ascii="Consolas" w:hAnsi="Consolas"/>
          <w:b w:val="0"/>
          <w:i w:val="0"/>
          <w:color w:val="344054"/>
          <w:sz w:val="20"/>
        </w:rPr>
        <w:t>requests</w:t>
      </w:r>
      <w:r>
        <w:rPr>
          <w:rFonts w:ascii="Arial" w:hAnsi="Arial"/>
          <w:b w:val="0"/>
          <w:i w:val="0"/>
          <w:color w:val="111827"/>
          <w:sz w:val="21"/>
        </w:rPr>
        <w:t>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Qualidade: 40 casos pytest, 15 testes frontend e fluxo autenticado completo de API; ainda sem E2E da interface autenticada.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Segurança: sessão HTTP-only, autorização por usuário/turma/tópico, defesa CSRF inicial por origem/SameSite, hash de senha, master por ambiente, CORS por allowlist, rate limit e headers; token CSRF e E2E autenticado seguem pendentes.</w:t>
      </w:r>
    </w:p>
    <w:p>
      <w:pPr>
        <w:pStyle w:val="Heading1"/>
      </w:pPr>
      <w:r>
        <w:t>3. Arquitetura-alvo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Web/PWA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└─ API client + query cache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└─ Flask API /api/v1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     ├─ Identity &amp; Access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     ├─ Classes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     ├─ Topics &amp; Curation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     ├─ Learning &amp; Attempts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     ├─ Mastery &amp; Review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     └─ Integrations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          ├─ Gemini adapter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          └─ YouTube adapter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                  └─ SQLite → PostgreSQL quando justificado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Regra: rotas traduzem HTTP; casos de uso aplicam regras; repositórios persistem; adapters integram provedores.</w:t>
      </w:r>
    </w:p>
    <w:p>
      <w:pPr>
        <w:pStyle w:val="Heading1"/>
      </w:pPr>
      <w:r>
        <w:t>4. Frontend feature-based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Estrutura proposta após migração incremental: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src/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app/              bootstrap, routes, providers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features/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auth/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classes/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topics/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study/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quiz/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mastery/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teacher-dashboard/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shared/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api/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components/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hooks/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lib/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styles/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types/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design-system/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tokens/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primitives/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patterns/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Não criar simultaneamente </w:t>
      </w:r>
      <w:r>
        <w:rPr>
          <w:rFonts w:ascii="Consolas" w:hAnsi="Consolas"/>
          <w:b w:val="0"/>
          <w:i w:val="0"/>
          <w:color w:val="344054"/>
          <w:sz w:val="21"/>
        </w:rPr>
        <w:t>features</w:t>
      </w:r>
      <w:r>
        <w:rPr>
          <w:rFonts w:ascii="Arial" w:hAnsi="Arial"/>
          <w:b w:val="0"/>
          <w:i w:val="0"/>
          <w:color w:val="111827"/>
          <w:sz w:val="22"/>
        </w:rPr>
        <w:t xml:space="preserve">, </w:t>
      </w:r>
      <w:r>
        <w:rPr>
          <w:rFonts w:ascii="Consolas" w:hAnsi="Consolas"/>
          <w:b w:val="0"/>
          <w:i w:val="0"/>
          <w:color w:val="344054"/>
          <w:sz w:val="21"/>
        </w:rPr>
        <w:t>modules</w:t>
      </w:r>
      <w:r>
        <w:rPr>
          <w:rFonts w:ascii="Arial" w:hAnsi="Arial"/>
          <w:b w:val="0"/>
          <w:i w:val="0"/>
          <w:color w:val="111827"/>
          <w:sz w:val="22"/>
        </w:rPr>
        <w:t xml:space="preserve"> e </w:t>
      </w:r>
      <w:r>
        <w:rPr>
          <w:rFonts w:ascii="Consolas" w:hAnsi="Consolas"/>
          <w:b w:val="0"/>
          <w:i w:val="0"/>
          <w:color w:val="344054"/>
          <w:sz w:val="21"/>
        </w:rPr>
        <w:t>pages</w:t>
      </w:r>
      <w:r>
        <w:rPr>
          <w:rFonts w:ascii="Arial" w:hAnsi="Arial"/>
          <w:b w:val="0"/>
          <w:i w:val="0"/>
          <w:color w:val="111827"/>
          <w:sz w:val="22"/>
        </w:rPr>
        <w:t xml:space="preserve"> para o mesmo conceito. Cada feature expõe uma API pública pequena. Componentes exclusivos ficam dentro da feature; primitives reutilizáveis ficam no design system.</w:t>
      </w:r>
    </w:p>
    <w:p>
      <w:pPr>
        <w:pStyle w:val="Heading1"/>
      </w:pPr>
      <w:r>
        <w:t>5. Estratégia TypeScript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Ativar TypeScript sem converter tudo.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Criar tipos de contratos e API.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Converter </w:t>
      </w:r>
      <w:r>
        <w:rPr>
          <w:rFonts w:ascii="Consolas" w:hAnsi="Consolas"/>
          <w:b w:val="0"/>
          <w:i w:val="0"/>
          <w:color w:val="344054"/>
          <w:sz w:val="20"/>
        </w:rPr>
        <w:t>api/client</w:t>
      </w:r>
      <w:r>
        <w:rPr>
          <w:rFonts w:ascii="Arial" w:hAnsi="Arial"/>
          <w:b w:val="0"/>
          <w:i w:val="0"/>
          <w:color w:val="111827"/>
          <w:sz w:val="21"/>
        </w:rPr>
        <w:t xml:space="preserve"> e novas primitives.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Converter feature por feature.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Ativar </w:t>
      </w:r>
      <w:r>
        <w:rPr>
          <w:rFonts w:ascii="Consolas" w:hAnsi="Consolas"/>
          <w:b w:val="0"/>
          <w:i w:val="0"/>
          <w:color w:val="344054"/>
          <w:sz w:val="20"/>
        </w:rPr>
        <w:t>strict</w:t>
      </w:r>
      <w:r>
        <w:rPr>
          <w:rFonts w:ascii="Arial" w:hAnsi="Arial"/>
          <w:b w:val="0"/>
          <w:i w:val="0"/>
          <w:color w:val="111827"/>
          <w:sz w:val="21"/>
        </w:rPr>
        <w:t xml:space="preserve"> quando fronteiras estiverem tipadas.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Evitar </w:t>
      </w:r>
      <w:r>
        <w:rPr>
          <w:rFonts w:ascii="Consolas" w:hAnsi="Consolas"/>
          <w:b w:val="0"/>
          <w:i w:val="0"/>
          <w:color w:val="344054"/>
          <w:sz w:val="21"/>
        </w:rPr>
        <w:t>any</w:t>
      </w:r>
      <w:r>
        <w:rPr>
          <w:rFonts w:ascii="Arial" w:hAnsi="Arial"/>
          <w:b w:val="0"/>
          <w:i w:val="0"/>
          <w:color w:val="111827"/>
          <w:sz w:val="22"/>
        </w:rPr>
        <w:t>, tipos duplicados e conversão de arquivos sem teste. Zod valida dados em runtime; TypeScript não substitui validação.</w:t>
      </w:r>
    </w:p>
    <w:p>
      <w:pPr>
        <w:pStyle w:val="Heading1"/>
      </w:pPr>
      <w:r>
        <w:t>6. Estado e dados remotos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TanStack Query: cache, loading, retry e invalidação de servidor.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Estado local: interação efêmera de formulário/quiz.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Context: sessão, tema e preferências estáveis.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React Hook Form + Zod: formulários não triviais.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Não adicionar store global até existir caso que não seja resolvido por essas camadas.</w:t>
      </w:r>
    </w:p>
    <w:p>
      <w:pPr>
        <w:pStyle w:val="Heading1"/>
      </w:pPr>
      <w:r>
        <w:t>7. Backend modular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backend/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app/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factory.py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config.py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api/v1/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domain/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services/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repositories/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integrations/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security/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migrations/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tests/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Migração inicial mantém SQLite e SQL explícito. Repositórios recebem conexão e executam queries parametrizadas. Transações abrangem tentativa, respostas, domínio e revisão.</w:t>
      </w:r>
    </w:p>
    <w:p>
      <w:pPr>
        <w:pStyle w:val="Heading1"/>
      </w:pPr>
      <w:r>
        <w:t>8. Contratos de API</w:t>
      </w:r>
    </w:p>
    <w:p>
      <w:pPr>
        <w:pStyle w:val="Heading2"/>
      </w:pPr>
      <w:r>
        <w:t>Convenções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Prefixo </w:t>
      </w:r>
      <w:r>
        <w:rPr>
          <w:rFonts w:ascii="Consolas" w:hAnsi="Consolas"/>
          <w:b w:val="0"/>
          <w:i w:val="0"/>
          <w:color w:val="344054"/>
          <w:sz w:val="20"/>
        </w:rPr>
        <w:t>/api/v1</w:t>
      </w:r>
      <w:r>
        <w:rPr>
          <w:rFonts w:ascii="Arial" w:hAnsi="Arial"/>
          <w:b w:val="0"/>
          <w:i w:val="0"/>
          <w:color w:val="111827"/>
          <w:sz w:val="21"/>
        </w:rPr>
        <w:t xml:space="preserve"> após período de compatibilidade.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JSON camelCase no HTTP e snake_case internamente.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IDs opacos.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Datas ISO 8601 com timezone.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Paginação em listas.</w:t>
      </w:r>
    </w:p>
    <w:p>
      <w:pPr>
        <w:pStyle w:val="ListBullet"/>
        <w:spacing w:after="80"/>
      </w:pPr>
      <w:r>
        <w:rPr>
          <w:rFonts w:ascii="Consolas" w:hAnsi="Consolas"/>
          <w:b w:val="0"/>
          <w:i w:val="0"/>
          <w:color w:val="344054"/>
          <w:sz w:val="20"/>
        </w:rPr>
        <w:t>requestId</w:t>
      </w:r>
      <w:r>
        <w:rPr>
          <w:rFonts w:ascii="Arial" w:hAnsi="Arial"/>
          <w:b w:val="0"/>
          <w:i w:val="0"/>
          <w:color w:val="111827"/>
          <w:sz w:val="21"/>
        </w:rPr>
        <w:t xml:space="preserve"> em erros.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"error": {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"code": "TOPIC_INCOMPLETE",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"message": "Tópico incompleto para publicação",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"details": {"missing": []},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"requestId": "...",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  "retryable": false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color w:val="111827"/>
          <w:sz w:val="18"/>
        </w:rPr>
        <w:t>}</w:t>
      </w:r>
    </w:p>
    <w:p>
      <w:pPr>
        <w:pStyle w:val="Heading2"/>
      </w:pPr>
      <w:r>
        <w:t>Idempotência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Criação de tentativa, geração e publicação recebem </w:t>
      </w:r>
      <w:r>
        <w:rPr>
          <w:rFonts w:ascii="Consolas" w:hAnsi="Consolas"/>
          <w:b w:val="0"/>
          <w:i w:val="0"/>
          <w:color w:val="344054"/>
          <w:sz w:val="21"/>
        </w:rPr>
        <w:t>Idempotency-Key</w:t>
      </w:r>
      <w:r>
        <w:rPr>
          <w:rFonts w:ascii="Arial" w:hAnsi="Arial"/>
          <w:b w:val="0"/>
          <w:i w:val="0"/>
          <w:color w:val="111827"/>
          <w:sz w:val="22"/>
        </w:rPr>
        <w:t>. Autosave usa versão/ETag para evitar sobrescrever edição concorrente.</w:t>
      </w:r>
    </w:p>
    <w:p>
      <w:pPr>
        <w:pStyle w:val="Heading1"/>
      </w:pPr>
      <w:r>
        <w:t>9. Dados</w:t>
      </w:r>
    </w:p>
    <w:p>
      <w:pPr>
        <w:pStyle w:val="Heading2"/>
      </w:pPr>
      <w:r>
        <w:t>Curto prazo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Migrações numeradas e reversíveis quando possível.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Foreign keys habilitadas.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Índices por </w:t>
      </w:r>
      <w:r>
        <w:rPr>
          <w:rFonts w:ascii="Consolas" w:hAnsi="Consolas"/>
          <w:b w:val="0"/>
          <w:i w:val="0"/>
          <w:color w:val="344054"/>
          <w:sz w:val="20"/>
        </w:rPr>
        <w:t>class_id</w:t>
      </w:r>
      <w:r>
        <w:rPr>
          <w:rFonts w:ascii="Arial" w:hAnsi="Arial"/>
          <w:b w:val="0"/>
          <w:i w:val="0"/>
          <w:color w:val="111827"/>
          <w:sz w:val="21"/>
        </w:rPr>
        <w:t xml:space="preserve">, </w:t>
      </w:r>
      <w:r>
        <w:rPr>
          <w:rFonts w:ascii="Consolas" w:hAnsi="Consolas"/>
          <w:b w:val="0"/>
          <w:i w:val="0"/>
          <w:color w:val="344054"/>
          <w:sz w:val="20"/>
        </w:rPr>
        <w:t>topic_id</w:t>
      </w:r>
      <w:r>
        <w:rPr>
          <w:rFonts w:ascii="Arial" w:hAnsi="Arial"/>
          <w:b w:val="0"/>
          <w:i w:val="0"/>
          <w:color w:val="111827"/>
          <w:sz w:val="21"/>
        </w:rPr>
        <w:t xml:space="preserve">, </w:t>
      </w:r>
      <w:r>
        <w:rPr>
          <w:rFonts w:ascii="Consolas" w:hAnsi="Consolas"/>
          <w:b w:val="0"/>
          <w:i w:val="0"/>
          <w:color w:val="344054"/>
          <w:sz w:val="20"/>
        </w:rPr>
        <w:t>user_id</w:t>
      </w:r>
      <w:r>
        <w:rPr>
          <w:rFonts w:ascii="Arial" w:hAnsi="Arial"/>
          <w:b w:val="0"/>
          <w:i w:val="0"/>
          <w:color w:val="111827"/>
          <w:sz w:val="21"/>
        </w:rPr>
        <w:t>, status e vencimento.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Constraint única para revisão pendente por aluno/habilidade.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Auditoria para publicação e mudanças críticas.</w:t>
      </w:r>
    </w:p>
    <w:p>
      <w:pPr>
        <w:pStyle w:val="Heading2"/>
      </w:pPr>
      <w:r>
        <w:t>Escala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SQLite permanece no piloto local. PostgreSQL será adotado quando concorrência, hospedagem, backup ou observabilidade justificarem. A migração não é requisito estético.</w:t>
      </w:r>
    </w:p>
    <w:p>
      <w:pPr>
        <w:pStyle w:val="Heading1"/>
      </w:pPr>
      <w:r>
        <w:t>10. Segurança</w:t>
      </w:r>
    </w:p>
    <w:p>
      <w:pPr>
        <w:pStyle w:val="Heading2"/>
      </w:pPr>
      <w:r>
        <w:t>Identidade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Senhas com hash robusto e política sem senha padrão.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Sessão HTTP-only, Secure, SameSite ou token curto com refresh seguro, após decisão.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Proteção contra enumeração e brute force.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Recuperação com token de uso único.</w:t>
      </w:r>
    </w:p>
    <w:p>
      <w:pPr>
        <w:pStyle w:val="Heading2"/>
      </w:pPr>
      <w:r>
        <w:t>Autorização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Matriz: master, professor, aluno. Toda rota verifica ator, ação e recurso. IDs recebidos do cliente nunca concedem acesso por si.</w:t>
      </w:r>
    </w:p>
    <w:p>
      <w:pPr>
        <w:pStyle w:val="Heading2"/>
      </w:pPr>
      <w:r>
        <w:t>Web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CORS por allowlist.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CSRF quando cookies autenticados forem usados.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CSP e headers de segurança.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Sanitização de URLs do YouTube.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Validação de tamanho e tipo de entrada.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Rate limit por identidade/IP e custo de provedor.</w:t>
      </w:r>
    </w:p>
    <w:p>
      <w:pPr>
        <w:pStyle w:val="Heading2"/>
      </w:pPr>
      <w:r>
        <w:t>Segredos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Chaves nunca em URL, navegador ou log. Preferir header oficial do provedor quando suportado, secret manager por ambiente e rotação documentada.</w:t>
      </w:r>
    </w:p>
    <w:p>
      <w:pPr>
        <w:pStyle w:val="Heading2"/>
      </w:pPr>
      <w:r>
        <w:t>LGPD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Inventário, finalidade, base legal, minimização, retenção, direitos, resposta a incidente e tratamento especial para menores.</w:t>
      </w:r>
    </w:p>
    <w:p>
      <w:pPr>
        <w:pStyle w:val="Heading1"/>
      </w:pPr>
      <w:r>
        <w:t>11. IA e provedores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Adapter com timeout, retry limitado e circuit breaker.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Schema estruturado e validação semântica parcial.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Registro de modelo, versão do prompt e timestamp sem armazenar segredo.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Fila assíncrona quando geração ultrapassar experiência síncrona.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Quota e custo por turma/professor.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Conteúdo oficial sempre passa por curadoria.</w:t>
      </w:r>
    </w:p>
    <w:p>
      <w:pPr>
        <w:pStyle w:val="Heading1"/>
      </w:pPr>
      <w:r>
        <w:t>12. Performance</w:t>
      </w:r>
    </w:p>
    <w:p>
      <w:pPr>
        <w:pStyle w:val="Heading2"/>
      </w:pPr>
      <w:r>
        <w:t>Medir antes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Definir aparelho e rede de referência. Registrar LCP, INP, CLS, TTFB, tamanho JS, chamadas e falhas.</w:t>
      </w:r>
    </w:p>
    <w:p>
      <w:pPr>
        <w:pStyle w:val="Heading2"/>
      </w:pPr>
      <w:r>
        <w:t>Técnicas condicionais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Code splitting por rota/feature.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Imagens responsivas e lazy.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Cache HTTP e query cache.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Prefetch apenas da próxima ação provável.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Virtualização somente em listas grandes medidas.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Compressão e CDN em produção.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Skeleton sem layout shift.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Metas Lighthouse e &lt;2 s não são declaradas atingidas até medição reproduzível.</w:t>
      </w:r>
    </w:p>
    <w:p>
      <w:pPr>
        <w:pStyle w:val="Heading1"/>
      </w:pPr>
      <w:r>
        <w:t>13. Offline e rede instável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Fase 1: retry, timeout, mensagens e prevenção de duplicidade.  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Fase 2: cache de tópicos publicados e progresso de leitura.  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Fase 3: fila local de respostas com sincronização e resolução de conflitos.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Não armazenar dados sensíveis em cache persistente sem threat model.</w:t>
      </w:r>
    </w:p>
    <w:p>
      <w:pPr>
        <w:pStyle w:val="Heading1"/>
      </w:pPr>
      <w:r>
        <w:t>14. Observabilidade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Logs estruturados com requestId.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Métricas RED: rate, errors, duration.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Métricas de provedor: latência, quota, schema inválido.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Traces em geração e submissão.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Eventos de produto com catálogo, consentimento e minimização.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Alertas baseados em impacto, não volume isolado.</w:t>
      </w:r>
    </w:p>
    <w:p>
      <w:pPr>
        <w:pStyle w:val="Heading1"/>
      </w:pPr>
      <w:r>
        <w:t>15. Testes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Unitários: domínio e parsers.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Integração: API + SQLite temporário.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Contrato: payloads frontend/backend e adapters.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Componentes: estados e acessibilidade.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E2E: criar turma, gerar mockado, revisar, publicar, estudar e quiz.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Segurança: autorização, CSRF/CORS, rate limit e input malicioso.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Performance: orçamento em CI após baseline.</w:t>
      </w:r>
    </w:p>
    <w:p>
      <w:pPr>
        <w:pStyle w:val="Heading1"/>
      </w:pPr>
      <w:r>
        <w:t>16. CI/CD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Pipeline: lint → typecheck → testes → build → auditoria de dependências → E2E → artefato. Ambientes dev/staging/prod separados. Migração roda como etapa explícita com backup. Deploy possui health check, smoke test e rollback.</w:t>
      </w:r>
    </w:p>
    <w:p>
      <w:pPr>
        <w:pStyle w:val="Heading1"/>
      </w:pPr>
      <w:r>
        <w:t>17. MCP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MCP é adapter sobre casos de uso, não acesso direto ao banco. Começar somente leitura e local após autorização robusta. Ferramentas mutáveis exigem confirmação e auditoria. Contratos estão em </w:t>
      </w:r>
      <w:r>
        <w:rPr>
          <w:rFonts w:ascii="Consolas" w:hAnsi="Consolas"/>
          <w:b w:val="0"/>
          <w:i w:val="0"/>
          <w:color w:val="344054"/>
          <w:sz w:val="21"/>
        </w:rPr>
        <w:t>skills/aistudytec-engineering/references/mcp-tool-contracts.md</w:t>
      </w:r>
      <w:r>
        <w:rPr>
          <w:rFonts w:ascii="Arial" w:hAnsi="Arial"/>
          <w:b w:val="0"/>
          <w:i w:val="0"/>
          <w:color w:val="111827"/>
          <w:sz w:val="22"/>
        </w:rPr>
        <w:t>.</w:t>
      </w:r>
    </w:p>
    <w:p>
      <w:pPr>
        <w:pStyle w:val="Heading1"/>
      </w:pPr>
      <w:r>
        <w:t>18. Plano de migração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Caracterizar comportamento atual com testes.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Extrair configuração e corrigir encoding.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Introduzir design system e API tipada nas novas features.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Extrair serviços backend mantendo rotas.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 xml:space="preserve">Adicionar </w:t>
      </w:r>
      <w:r>
        <w:rPr>
          <w:rFonts w:ascii="Consolas" w:hAnsi="Consolas"/>
          <w:b w:val="0"/>
          <w:i w:val="0"/>
          <w:color w:val="344054"/>
          <w:sz w:val="20"/>
        </w:rPr>
        <w:t>/api/v1</w:t>
      </w:r>
      <w:r>
        <w:rPr>
          <w:rFonts w:ascii="Arial" w:hAnsi="Arial"/>
          <w:b w:val="0"/>
          <w:i w:val="0"/>
          <w:color w:val="111827"/>
          <w:sz w:val="21"/>
        </w:rPr>
        <w:t xml:space="preserve"> e camada de compatibilidade.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Implementar identidade/autorização.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Migrar feature por feature.</w:t>
      </w:r>
    </w:p>
    <w:p>
      <w:pPr>
        <w:pStyle w:val="ListNumber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Remover legado apenas após telemetria e paridade.</w:t>
      </w:r>
    </w:p>
    <w:p>
      <w:pPr>
        <w:pStyle w:val="Heading1"/>
      </w:pPr>
      <w:r>
        <w:t>19. ADRs necessários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ADR-001 identidade e sessão.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ADR-002 TypeScript e toolchain.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ADR-003 router.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ADR-004 SQLite versus PostgreSQL.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ADR-005 analytics e privacidade.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ADR-006 fila de geração.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ADR-007 PWA/offline.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111827"/>
          <w:sz w:val="21"/>
        </w:rPr>
        <w:t>ADR-008 servidor MCP.</w:t>
      </w:r>
    </w:p>
    <w:p>
      <w:pPr>
        <w:pStyle w:val="Heading1"/>
      </w:pPr>
      <w:r>
        <w:t>20. Definition of Done arquitetural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Contratos validados; autorização testada; migração segura; observabilidade; acessibilidade; performance medida; testes relevantes; documentação e ADR; rollback; nenhum segredo.</w:t>
      </w:r>
    </w:p>
    <w:p>
      <w:pPr>
        <w:pStyle w:val="Heading1"/>
      </w:pPr>
      <w:r>
        <w:t>21. Implementação atual da aprendizagem imersiva</w:t>
      </w:r>
    </w:p>
    <w:p>
      <w:pPr>
        <w:spacing w:after="140" w:line="300" w:lineRule="auto"/>
        <w:jc w:val="both"/>
      </w:pPr>
      <w:r>
        <w:rPr>
          <w:rFonts w:ascii="Consolas" w:hAnsi="Consolas"/>
          <w:b w:val="0"/>
          <w:i w:val="0"/>
          <w:color w:val="344054"/>
          <w:sz w:val="21"/>
        </w:rPr>
        <w:t>gemini_client.py</w:t>
      </w:r>
      <w:r>
        <w:rPr>
          <w:rFonts w:ascii="Arial" w:hAnsi="Arial"/>
          <w:b w:val="0"/>
          <w:i w:val="0"/>
          <w:color w:val="111827"/>
          <w:sz w:val="22"/>
        </w:rPr>
        <w:t xml:space="preserve"> solicita JSON com </w:t>
      </w:r>
      <w:r>
        <w:rPr>
          <w:rFonts w:ascii="Consolas" w:hAnsi="Consolas"/>
          <w:b w:val="0"/>
          <w:i w:val="0"/>
          <w:color w:val="344054"/>
          <w:sz w:val="21"/>
        </w:rPr>
        <w:t>explanations</w:t>
      </w:r>
      <w:r>
        <w:rPr>
          <w:rFonts w:ascii="Arial" w:hAnsi="Arial"/>
          <w:b w:val="0"/>
          <w:i w:val="0"/>
          <w:color w:val="111827"/>
          <w:sz w:val="22"/>
        </w:rPr>
        <w:t xml:space="preserve">, </w:t>
      </w:r>
      <w:r>
        <w:rPr>
          <w:rFonts w:ascii="Consolas" w:hAnsi="Consolas"/>
          <w:b w:val="0"/>
          <w:i w:val="0"/>
          <w:color w:val="344054"/>
          <w:sz w:val="21"/>
        </w:rPr>
        <w:t>learningPaths</w:t>
      </w:r>
      <w:r>
        <w:rPr>
          <w:rFonts w:ascii="Arial" w:hAnsi="Arial"/>
          <w:b w:val="0"/>
          <w:i w:val="0"/>
          <w:color w:val="111827"/>
          <w:sz w:val="22"/>
        </w:rPr>
        <w:t xml:space="preserve"> e nove questões. Cada </w:t>
      </w:r>
      <w:r>
        <w:rPr>
          <w:rFonts w:ascii="Consolas" w:hAnsi="Consolas"/>
          <w:b w:val="0"/>
          <w:i w:val="0"/>
          <w:color w:val="344054"/>
          <w:sz w:val="21"/>
        </w:rPr>
        <w:t>learningPath</w:t>
      </w:r>
      <w:r>
        <w:rPr>
          <w:rFonts w:ascii="Arial" w:hAnsi="Arial"/>
          <w:b w:val="0"/>
          <w:i w:val="0"/>
          <w:color w:val="111827"/>
          <w:sz w:val="22"/>
        </w:rPr>
        <w:t xml:space="preserve"> é validada quanto a gancho, objetivos, ideias essenciais, conexão real, investigação, termos de busca, missão antes/durante/depois do vídeo, desafio, reflexão e discussão. O conteúdo é persistido por nível em </w:t>
      </w:r>
      <w:r>
        <w:rPr>
          <w:rFonts w:ascii="Consolas" w:hAnsi="Consolas"/>
          <w:b w:val="0"/>
          <w:i w:val="0"/>
          <w:color w:val="344054"/>
          <w:sz w:val="21"/>
        </w:rPr>
        <w:t>topic_learning_paths</w:t>
      </w:r>
      <w:r>
        <w:rPr>
          <w:rFonts w:ascii="Arial" w:hAnsi="Arial"/>
          <w:b w:val="0"/>
          <w:i w:val="0"/>
          <w:color w:val="111827"/>
          <w:sz w:val="22"/>
        </w:rPr>
        <w:t xml:space="preserve">; </w:t>
      </w:r>
      <w:r>
        <w:rPr>
          <w:rFonts w:ascii="Consolas" w:hAnsi="Consolas"/>
          <w:b w:val="0"/>
          <w:i w:val="0"/>
          <w:color w:val="344054"/>
          <w:sz w:val="21"/>
        </w:rPr>
        <w:t>_topic_detail</w:t>
      </w:r>
      <w:r>
        <w:rPr>
          <w:rFonts w:ascii="Arial" w:hAnsi="Arial"/>
          <w:b w:val="0"/>
          <w:i w:val="0"/>
          <w:color w:val="111827"/>
          <w:sz w:val="22"/>
        </w:rPr>
        <w:t xml:space="preserve"> recompõe o contrato da API.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 xml:space="preserve">O cliente reserva 180 s para geração e 30 s para chamadas comuns. O adapter Gemini usa </w:t>
      </w:r>
      <w:r>
        <w:rPr>
          <w:rFonts w:ascii="Consolas" w:hAnsi="Consolas"/>
          <w:b w:val="0"/>
          <w:i w:val="0"/>
          <w:color w:val="344054"/>
          <w:sz w:val="21"/>
        </w:rPr>
        <w:t>gemini-2.5-flash</w:t>
      </w:r>
      <w:r>
        <w:rPr>
          <w:rFonts w:ascii="Arial" w:hAnsi="Arial"/>
          <w:b w:val="0"/>
          <w:i w:val="0"/>
          <w:color w:val="111827"/>
          <w:sz w:val="22"/>
        </w:rPr>
        <w:t>, 20.000 tokens máximos, timeout de 90 s e no máximo duas tentativas diante de violação estrutural. A arquitetura síncrona é adequada apenas ao protótipo; produção deve adotar job idempotente, consulta de estado e retomada.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O adapter YouTube normaliza termos, remove palavras vazias, exige sobreposição entre termos relevantes do tema e o título do vídeo, preserva a posição de relevância, usa visualizações como sinal secundário e filtra duração entre 3 e 20 minutos.</w:t>
      </w:r>
    </w:p>
    <w:p>
      <w:pPr>
        <w:spacing w:after="140" w:line="300" w:lineRule="auto"/>
        <w:jc w:val="both"/>
      </w:pPr>
      <w:r>
        <w:rPr>
          <w:rFonts w:ascii="Arial" w:hAnsi="Arial"/>
          <w:b w:val="0"/>
          <w:i w:val="0"/>
          <w:color w:val="111827"/>
          <w:sz w:val="22"/>
        </w:rPr>
        <w:t>Baseline: 23 rotas Flask, 12 tabelas incluindo auditoria, 13 componentes React, 40 testes backend, 15 testes frontend e build aprovado.</w:t>
      </w:r>
    </w:p>
    <w:sectPr w:rsidR="00FC693F" w:rsidRPr="0006063C" w:rsidSect="00034616">
      <w:footerReference w:type="default" r:id="rId9"/>
      <w:pgSz w:w="11909" w:h="16834"/>
      <w:pgMar w:top="1296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7085"/>
        <w:sz w:val="17"/>
      </w:rPr>
      <w:t xml:space="preserve">AISTUDYTEC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AISTUDYTEC — System Design e Arquitetura</dc:title>
  <dc:subject/>
  <dc:creator>Projeto AISTUDYTEC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