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y Operaciones con RDDs</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pPr>
        <w:pStyle w:val="Heading2"/>
      </w:pPr>
      <w:r>
        <w:t>5.2 Evidencias Gráficas y Análisis Estadístico</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a1_pm_departamentos.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figura2_distribucion_ica.png"/>
                    <pic:cNvPicPr/>
                  </pic:nvPicPr>
                  <pic:blipFill>
                    <a:blip r:embed="rId10"/>
                    <a:stretch>
                      <a:fillRect/>
                    </a:stretch>
                  </pic:blipFill>
                  <pic:spPr>
                    <a:xfrm>
                      <a:off x="0" y="0"/>
                      <a:ext cx="4114800" cy="4114800"/>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3" name="Picture 3"/>
            <wp:cNvGraphicFramePr>
              <a:graphicFrameLocks noChangeAspect="1"/>
            </wp:cNvGraphicFramePr>
            <a:graphic>
              <a:graphicData uri="http://schemas.openxmlformats.org/drawingml/2006/picture">
                <pic:pic>
                  <pic:nvPicPr>
                    <pic:cNvPr id="0" name="figura3_top_estaciones_criticas.png"/>
                    <pic:cNvPicPr/>
                  </pic:nvPicPr>
                  <pic:blipFill>
                    <a:blip r:embed="rId11"/>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ura4_dispersion_clima_contaminacion.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r>
        <w:drawing>
          <wp:inline xmlns:a="http://schemas.openxmlformats.org/drawingml/2006/main" xmlns:pic="http://schemas.openxmlformats.org/drawingml/2006/picture">
            <wp:extent cx="5669280" cy="2929128"/>
            <wp:docPr id="5" name="Picture 5"/>
            <wp:cNvGraphicFramePr>
              <a:graphicFrameLocks noChangeAspect="1"/>
            </wp:cNvGraphicFramePr>
            <a:graphic>
              <a:graphicData uri="http://schemas.openxmlformats.org/drawingml/2006/picture">
                <pic:pic>
                  <pic:nvPicPr>
                    <pic:cNvPr id="0" name="figura5_streaming_kafka_spark.png"/>
                    <pic:cNvPicPr/>
                  </pic:nvPicPr>
                  <pic:blipFill>
                    <a:blip r:embed="rId13"/>
                    <a:stretch>
                      <a:fillRect/>
                    </a:stretch>
                  </pic:blipFill>
                  <pic:spPr>
                    <a:xfrm>
                      <a:off x="0" y="0"/>
                      <a:ext cx="5669280" cy="2929128"/>
                    </a:xfrm>
                    <a:prstGeom prst="rect"/>
                  </pic:spPr>
                </pic:pic>
              </a:graphicData>
            </a:graphic>
          </wp:inline>
        </w:drawing>
      </w:r>
    </w:p>
    <w:p>
      <w:pPr>
        <w:jc w:val="center"/>
      </w:pPr>
      <w:r>
        <w:rPr>
          <w:i/>
          <w:sz w:val="18"/>
        </w:rPr>
        <w:t>Figura 5: Evidencia Práctica de Ejecución en Paralelo (Productor Kafka, Consumidor Spark Streaming y Spark Web UI).</w:t>
      </w:r>
    </w:p>
    <w:p>
      <w:pPr>
        <w:spacing w:line="276" w:lineRule="auto"/>
        <w:jc w:val="both"/>
      </w:pPr>
      <w:r>
        <w:t>Análisis Técnico (Figura 5): Se valida la ingesta continua de registros en el topic sensor_data y su posterior consumo en micro-batches. El operador de ventana deslizante consolida las medias de temperatura y humedad para cada sensor sin latencias de red, mientras la interfaz web en el puerto 4040 confirma la asignación de 2.0 GiB de RAM en el Driver y cero etapas fallidas.</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(Google Slides): </w:t>
      </w:r>
      <w:r>
        <w:t>https://docs.google.com/presentation/d/1MqQRxtU3fVPnxDnB2EPuVMmHrWjVB1EWMCfo44sE74U/edit?usp=sharing (Presentación visual con el problema, arquitectura y resumen de resultados).</w:t>
      </w:r>
    </w:p>
    <w:p>
      <w:pPr>
        <w:pStyle w:val="ListBullet"/>
        <w:spacing w:line="276" w:lineRule="auto" w:after="80"/>
        <w:jc w:val="both"/>
      </w:pPr>
      <w:r>
        <w:rPr>
          <w:b/>
        </w:rPr>
        <w:t xml:space="preserve">Video Explicativo de Sustentación: </w:t>
      </w:r>
      <w:r>
        <w:t>https://youtu.be/... (Video de máximo 5 minutos con explicación y sustentación de los códigos y ejecuciones prácticas).</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