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A406" w14:textId="77777777" w:rsidR="00F07021" w:rsidRDefault="00F07021">
      <w:pPr>
        <w:spacing w:before="9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7021" w14:paraId="529BAD94" w14:textId="77777777">
        <w:tblPrEx>
          <w:tblCellMar>
            <w:top w:w="0" w:type="dxa"/>
            <w:bottom w:w="0" w:type="dxa"/>
          </w:tblCellMar>
        </w:tblPrEx>
        <w:trPr>
          <w:trHeight w:val="6600"/>
        </w:trPr>
        <w:tc>
          <w:tcPr>
            <w:tcW w:w="9638" w:type="dxa"/>
            <w:tcBorders>
              <w:top w:val="none" w:sz="0" w:space="0" w:color="FFFFFF"/>
              <w:left w:val="none" w:sz="0" w:space="0" w:color="FFFFFF"/>
              <w:bottom w:val="single" w:sz="48" w:space="0" w:color="2F80ED"/>
              <w:right w:val="none" w:sz="0" w:space="0" w:color="FFFFFF"/>
            </w:tcBorders>
            <w:shd w:val="clear" w:color="auto" w:fill="1F2A44"/>
            <w:tcMar>
              <w:top w:w="500" w:type="dxa"/>
              <w:left w:w="560" w:type="dxa"/>
              <w:bottom w:w="500" w:type="dxa"/>
              <w:right w:w="560" w:type="dxa"/>
            </w:tcMar>
            <w:vAlign w:val="center"/>
          </w:tcPr>
          <w:p w14:paraId="0DD36B7A" w14:textId="77777777" w:rsidR="00F07021" w:rsidRDefault="00E733EE">
            <w:pPr>
              <w:spacing w:after="220"/>
            </w:pPr>
            <w:r>
              <w:rPr>
                <w:b/>
                <w:bCs/>
                <w:color w:val="FFFFFF"/>
                <w:sz w:val="60"/>
                <w:szCs w:val="60"/>
              </w:rPr>
              <w:t>Case Study Report: Cybercrime Prevention Act of 2012 (RA 10175)</w:t>
            </w:r>
          </w:p>
          <w:p w14:paraId="02CECD03" w14:textId="77777777" w:rsidR="00F07021" w:rsidRDefault="00E733EE">
            <w:pPr>
              <w:pBdr>
                <w:top w:val="single" w:sz="12" w:space="10" w:color="2F80ED"/>
              </w:pBdr>
              <w:spacing w:before="120"/>
            </w:pPr>
            <w:r>
              <w:rPr>
                <w:color w:val="E9EEF3"/>
                <w:sz w:val="26"/>
                <w:szCs w:val="26"/>
              </w:rPr>
              <w:t>Statutory Analysis of Online Safety, Cyber Libel, and Jurisdictional Frameworks</w:t>
            </w:r>
          </w:p>
        </w:tc>
      </w:tr>
    </w:tbl>
    <w:p w14:paraId="395ED72B" w14:textId="77777777" w:rsidR="00F07021" w:rsidRDefault="00F07021">
      <w:pPr>
        <w:spacing w:before="26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7021" w14:paraId="4F879033" w14:textId="77777777">
        <w:tblPrEx>
          <w:tblCellMar>
            <w:top w:w="0" w:type="dxa"/>
            <w:bottom w:w="0" w:type="dxa"/>
          </w:tblCellMar>
        </w:tblPrEx>
        <w:tc>
          <w:tcPr>
            <w:tcW w:w="9638" w:type="dxa"/>
            <w:tcBorders>
              <w:top w:val="none" w:sz="0" w:space="0" w:color="FFFFFF"/>
              <w:left w:val="single" w:sz="36" w:space="0" w:color="2F80ED"/>
              <w:bottom w:val="none" w:sz="0" w:space="0" w:color="FFFFFF"/>
              <w:right w:val="none" w:sz="0" w:space="0" w:color="FFFFFF"/>
            </w:tcBorders>
            <w:shd w:val="clear" w:color="auto" w:fill="EDF3FD"/>
            <w:tcMar>
              <w:top w:w="240" w:type="dxa"/>
              <w:left w:w="360" w:type="dxa"/>
              <w:bottom w:w="240" w:type="dxa"/>
              <w:right w:w="240" w:type="dxa"/>
            </w:tcMar>
          </w:tcPr>
          <w:p w14:paraId="06715348" w14:textId="77777777" w:rsidR="00F07021" w:rsidRDefault="00E733EE">
            <w:pPr>
              <w:spacing w:after="100"/>
            </w:pPr>
            <w:r>
              <w:rPr>
                <w:b/>
                <w:bCs/>
                <w:color w:val="2F80ED"/>
                <w:sz w:val="24"/>
                <w:szCs w:val="24"/>
              </w:rPr>
              <w:t>Authored by:</w:t>
            </w:r>
            <w:r>
              <w:rPr>
                <w:b/>
                <w:bCs/>
                <w:color w:val="1F2A44"/>
                <w:sz w:val="28"/>
                <w:szCs w:val="28"/>
              </w:rPr>
              <w:t xml:space="preserve"> Jhon Paulo Gascon</w:t>
            </w:r>
          </w:p>
          <w:p w14:paraId="4494AFA6" w14:textId="77777777" w:rsidR="00F07021" w:rsidRDefault="00E733EE">
            <w:pPr>
              <w:spacing w:after="40"/>
            </w:pPr>
            <w:r>
              <w:rPr>
                <w:color w:val="18213A"/>
                <w:sz w:val="23"/>
                <w:szCs w:val="23"/>
              </w:rPr>
              <w:t>College of Information Technology</w:t>
            </w:r>
          </w:p>
          <w:p w14:paraId="17233984" w14:textId="77777777" w:rsidR="00F07021" w:rsidRDefault="00E733EE">
            <w:pPr>
              <w:spacing w:after="40"/>
            </w:pPr>
            <w:r>
              <w:rPr>
                <w:color w:val="18213A"/>
                <w:sz w:val="23"/>
                <w:szCs w:val="23"/>
              </w:rPr>
              <w:t>STI West Negros University</w:t>
            </w:r>
          </w:p>
          <w:p w14:paraId="3D6237FF" w14:textId="77777777" w:rsidR="00F07021" w:rsidRDefault="00E733EE">
            <w:pPr>
              <w:spacing w:after="40"/>
            </w:pPr>
            <w:r>
              <w:rPr>
                <w:color w:val="18213A"/>
                <w:sz w:val="23"/>
                <w:szCs w:val="23"/>
              </w:rPr>
              <w:t>Bacolod City, Philippines</w:t>
            </w:r>
          </w:p>
          <w:p w14:paraId="7C0B1091" w14:textId="77777777" w:rsidR="00F07021" w:rsidRDefault="00E733EE">
            <w:pPr>
              <w:spacing w:after="40"/>
            </w:pPr>
            <w:r>
              <w:rPr>
                <w:color w:val="18213A"/>
                <w:sz w:val="23"/>
                <w:szCs w:val="23"/>
              </w:rPr>
              <w:t>Academic Year 2026–2027</w:t>
            </w:r>
          </w:p>
        </w:tc>
      </w:tr>
    </w:tbl>
    <w:p w14:paraId="1EB3C261" w14:textId="77777777" w:rsidR="00F07021" w:rsidRDefault="00E733EE">
      <w:pPr>
        <w:keepNext/>
        <w:pageBreakBefore/>
        <w:pBdr>
          <w:bottom w:val="single" w:sz="12" w:space="4" w:color="2F80ED"/>
        </w:pBdr>
        <w:spacing w:after="160"/>
        <w:outlineLvl w:val="0"/>
      </w:pPr>
      <w:r>
        <w:rPr>
          <w:b/>
          <w:bCs/>
          <w:color w:val="2F80ED"/>
          <w:sz w:val="34"/>
          <w:szCs w:val="34"/>
        </w:rPr>
        <w:lastRenderedPageBreak/>
        <w:t xml:space="preserve">1. </w:t>
      </w:r>
      <w:r>
        <w:rPr>
          <w:b/>
          <w:bCs/>
          <w:color w:val="1F2A44"/>
          <w:sz w:val="34"/>
          <w:szCs w:val="34"/>
        </w:rPr>
        <w:t>Legislative Background &amp; Constitutional Test</w:t>
      </w:r>
    </w:p>
    <w:p w14:paraId="7134D282" w14:textId="77777777" w:rsidR="00F07021" w:rsidRDefault="00E733EE">
      <w:pPr>
        <w:spacing w:after="140" w:line="288" w:lineRule="auto"/>
      </w:pPr>
      <w:r>
        <w:rPr>
          <w:color w:val="18213A"/>
        </w:rPr>
        <w:t>Republic Act No. 10175, approved on September 12, 2012, established comprehensive statutory penalties for offenses against the confidentiality, integrity, and availability of computer data and systems. The statute addresses emerging computer-related offenses, including illegal access, data interference, cyber fraud, and online libel.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7021" w14:paraId="58B19311" w14:textId="77777777">
        <w:tblPrEx>
          <w:tblCellMar>
            <w:top w:w="0" w:type="dxa"/>
            <w:bottom w:w="0" w:type="dxa"/>
          </w:tblCellMar>
        </w:tblPrEx>
        <w:trPr>
          <w:cantSplit/>
        </w:trPr>
        <w:tc>
          <w:tcPr>
            <w:tcW w:w="9638" w:type="dxa"/>
            <w:tcBorders>
              <w:top w:val="none" w:sz="0" w:space="0" w:color="FFFFFF"/>
              <w:left w:val="single" w:sz="36" w:space="0" w:color="2F80ED"/>
              <w:bottom w:val="none" w:sz="0" w:space="0" w:color="FFFFFF"/>
              <w:right w:val="none" w:sz="0" w:space="0" w:color="FFFFFF"/>
            </w:tcBorders>
            <w:shd w:val="clear" w:color="auto" w:fill="EDF3FD"/>
            <w:tcMar>
              <w:top w:w="170" w:type="dxa"/>
              <w:left w:w="260" w:type="dxa"/>
              <w:bottom w:w="170" w:type="dxa"/>
              <w:right w:w="240" w:type="dxa"/>
            </w:tcMar>
          </w:tcPr>
          <w:p w14:paraId="127CCC2D" w14:textId="77777777" w:rsidR="00F07021" w:rsidRDefault="00E733EE">
            <w:pPr>
              <w:spacing w:line="288" w:lineRule="auto"/>
            </w:pPr>
            <w:r>
              <w:rPr>
                <w:b/>
                <w:bCs/>
                <w:color w:val="1F2A44"/>
              </w:rPr>
              <w:t xml:space="preserve">KEY DEFINITION — Disini v. Secretary of Justice (G.R. No. 203335): </w:t>
            </w:r>
            <w:r>
              <w:rPr>
                <w:color w:val="18213A"/>
              </w:rPr>
              <w:t>The landmark 2014 Supreme Court ruling upholding Section 4(c)(4) regarding online libel against original authors, while invalidating unconstitutional provisions such as Section 12 (real-time traffic data collection) and Section 19 (DOJ unilateral takedown authority).</w:t>
            </w:r>
          </w:p>
        </w:tc>
      </w:tr>
    </w:tbl>
    <w:p w14:paraId="2F63E046" w14:textId="77777777" w:rsidR="00F07021" w:rsidRDefault="00F07021">
      <w:pPr>
        <w:spacing w:after="140"/>
      </w:pPr>
    </w:p>
    <w:p w14:paraId="259FA2E4" w14:textId="77777777" w:rsidR="00F07021" w:rsidRDefault="00E733EE">
      <w:pPr>
        <w:keepNext/>
        <w:pBdr>
          <w:left w:val="single" w:sz="24" w:space="8" w:color="2F80ED"/>
        </w:pBdr>
        <w:spacing w:before="260" w:after="110"/>
        <w:outlineLvl w:val="1"/>
      </w:pPr>
      <w:r>
        <w:rPr>
          <w:b/>
          <w:bCs/>
          <w:color w:val="1F2A44"/>
          <w:sz w:val="26"/>
          <w:szCs w:val="26"/>
        </w:rPr>
        <w:t>Enforcement Flowchart</w:t>
      </w:r>
    </w:p>
    <w:p w14:paraId="7838C6E9" w14:textId="77777777" w:rsidR="00F07021" w:rsidRDefault="00E733EE">
      <w:pPr>
        <w:keepNext/>
        <w:spacing w:after="140" w:line="288" w:lineRule="auto"/>
      </w:pPr>
      <w:r>
        <w:rPr>
          <w:color w:val="18213A"/>
        </w:rPr>
        <w:t>Handling digital crime requires strict adherence to chain of custody procedures to maintain admissibility in court:</w:t>
      </w:r>
    </w:p>
    <w:p w14:paraId="3533E0CA" w14:textId="77777777" w:rsidR="00F07021" w:rsidRDefault="00E733EE">
      <w:pPr>
        <w:keepNext/>
        <w:pBdr>
          <w:top w:val="single" w:sz="6" w:space="8" w:color="CFDCF2"/>
          <w:left w:val="single" w:sz="6" w:space="8" w:color="CFDCF2"/>
          <w:bottom w:val="single" w:sz="6" w:space="8" w:color="CFDCF2"/>
          <w:right w:val="single" w:sz="6" w:space="8" w:color="CFDCF2"/>
        </w:pBdr>
        <w:shd w:val="clear" w:color="auto" w:fill="FFFFFF"/>
        <w:spacing w:before="120"/>
        <w:jc w:val="center"/>
      </w:pPr>
      <w:r>
        <w:rPr>
          <w:noProof/>
        </w:rPr>
        <w:drawing>
          <wp:inline distT="0" distB="0" distL="0" distR="0" wp14:anchorId="3DB43069" wp14:editId="44B204EF">
            <wp:extent cx="5143500" cy="2009775"/>
            <wp:effectExtent l="0" t="0" r="0" b="0"/>
            <wp:docPr id="1" name="fig1" descr="Figure 1: Statutory Enforcement &amp; Jurisdictional Flowchart under RA 10175." title="Figure 1: Statutory Enforcement &amp; Jurisdictional Flowchart under RA 1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09775"/>
                    </a:xfrm>
                    <a:prstGeom prst="rect">
                      <a:avLst/>
                    </a:prstGeom>
                  </pic:spPr>
                </pic:pic>
              </a:graphicData>
            </a:graphic>
          </wp:inline>
        </w:drawing>
      </w:r>
    </w:p>
    <w:p w14:paraId="224380DF" w14:textId="77777777" w:rsidR="00F07021" w:rsidRDefault="00E733EE">
      <w:pPr>
        <w:spacing w:before="100" w:after="220"/>
        <w:jc w:val="center"/>
      </w:pPr>
      <w:r>
        <w:rPr>
          <w:i/>
          <w:iCs/>
          <w:color w:val="5B6B7F"/>
          <w:sz w:val="19"/>
          <w:szCs w:val="19"/>
        </w:rPr>
        <w:t>Figure 1: Statutory Enforcement &amp; Jurisdictional Flowchart under RA 10175.</w:t>
      </w:r>
    </w:p>
    <w:p w14:paraId="12B3BC89" w14:textId="77777777" w:rsidR="00F07021" w:rsidRDefault="00E733EE">
      <w:pPr>
        <w:keepNext/>
        <w:pBdr>
          <w:bottom w:val="single" w:sz="12" w:space="4" w:color="2F80ED"/>
        </w:pBdr>
        <w:spacing w:before="360" w:after="160"/>
        <w:outlineLvl w:val="0"/>
      </w:pPr>
      <w:r>
        <w:rPr>
          <w:b/>
          <w:bCs/>
          <w:color w:val="2F80ED"/>
          <w:sz w:val="34"/>
          <w:szCs w:val="34"/>
        </w:rPr>
        <w:lastRenderedPageBreak/>
        <w:t xml:space="preserve">2. </w:t>
      </w:r>
      <w:r>
        <w:rPr>
          <w:b/>
          <w:bCs/>
          <w:color w:val="1F2A44"/>
          <w:sz w:val="34"/>
          <w:szCs w:val="34"/>
        </w:rPr>
        <w:t>Incident Distributions &amp; Statutory Sanctions</w:t>
      </w:r>
    </w:p>
    <w:p w14:paraId="14549F3A" w14:textId="77777777" w:rsidR="00F07021" w:rsidRDefault="00E733EE">
      <w:pPr>
        <w:keepNext/>
        <w:spacing w:after="140" w:line="288" w:lineRule="auto"/>
      </w:pPr>
      <w:r>
        <w:rPr>
          <w:color w:val="18213A"/>
        </w:rPr>
        <w:t>According to incident reporting from the PNP Anti-Cybercrime Group (PNP-ACG) and the NBI Cybercrime Division, financial cyber fraud and identity theft constitute the majority of tertiary student complaints.</w:t>
      </w:r>
    </w:p>
    <w:p w14:paraId="0D6D242D" w14:textId="77777777" w:rsidR="00F07021" w:rsidRDefault="00E733EE">
      <w:pPr>
        <w:keepNext/>
        <w:pBdr>
          <w:top w:val="single" w:sz="6" w:space="8" w:color="CFDCF2"/>
          <w:left w:val="single" w:sz="6" w:space="8" w:color="CFDCF2"/>
          <w:bottom w:val="single" w:sz="6" w:space="8" w:color="CFDCF2"/>
          <w:right w:val="single" w:sz="6" w:space="8" w:color="CFDCF2"/>
        </w:pBdr>
        <w:shd w:val="clear" w:color="auto" w:fill="FFFFFF"/>
        <w:spacing w:before="120"/>
        <w:jc w:val="center"/>
      </w:pPr>
      <w:r>
        <w:rPr>
          <w:noProof/>
        </w:rPr>
        <w:drawing>
          <wp:inline distT="0" distB="0" distL="0" distR="0" wp14:anchorId="7C742807" wp14:editId="0F308144">
            <wp:extent cx="5143500" cy="2095500"/>
            <wp:effectExtent l="0" t="0" r="0" b="0"/>
            <wp:docPr id="1149363984" name="fig2" descr="Figure 2: Relative Distribution of Philippine Cyber Offenses by Category." title="Figure 2: Relative Distribution of Philippine Cyber Offense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95500"/>
                    </a:xfrm>
                    <a:prstGeom prst="rect">
                      <a:avLst/>
                    </a:prstGeom>
                  </pic:spPr>
                </pic:pic>
              </a:graphicData>
            </a:graphic>
          </wp:inline>
        </w:drawing>
      </w:r>
    </w:p>
    <w:p w14:paraId="2F119D5A" w14:textId="77777777" w:rsidR="00F07021" w:rsidRDefault="00E733EE">
      <w:pPr>
        <w:spacing w:before="100" w:after="220"/>
        <w:jc w:val="center"/>
      </w:pPr>
      <w:r>
        <w:rPr>
          <w:i/>
          <w:iCs/>
          <w:color w:val="5B6B7F"/>
          <w:sz w:val="19"/>
          <w:szCs w:val="19"/>
        </w:rPr>
        <w:t>Figure 2: Relative Distribution of Philippine Cyber Offenses by Category.</w:t>
      </w:r>
    </w:p>
    <w:p w14:paraId="51CE58B7" w14:textId="77777777" w:rsidR="00F07021" w:rsidRDefault="00E733EE">
      <w:pPr>
        <w:keepNext/>
        <w:pBdr>
          <w:left w:val="single" w:sz="24" w:space="8" w:color="2F80ED"/>
        </w:pBdr>
        <w:spacing w:before="260" w:after="110"/>
        <w:outlineLvl w:val="1"/>
      </w:pPr>
      <w:r>
        <w:rPr>
          <w:b/>
          <w:bCs/>
          <w:color w:val="1F2A44"/>
          <w:sz w:val="26"/>
          <w:szCs w:val="26"/>
        </w:rPr>
        <w:t>Core Penalties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4"/>
        <w:gridCol w:w="1826"/>
        <w:gridCol w:w="4058"/>
      </w:tblGrid>
      <w:tr w:rsidR="00F07021" w14:paraId="24B99DB6" w14:textId="77777777">
        <w:tblPrEx>
          <w:tblCellMar>
            <w:top w:w="0" w:type="dxa"/>
            <w:bottom w:w="0" w:type="dxa"/>
          </w:tblCellMar>
        </w:tblPrEx>
        <w:trPr>
          <w:cantSplit/>
          <w:tblHeader/>
        </w:trPr>
        <w:tc>
          <w:tcPr>
            <w:tcW w:w="3754" w:type="dxa"/>
            <w:tcBorders>
              <w:top w:val="none" w:sz="0" w:space="0" w:color="FFFFFF"/>
              <w:left w:val="none" w:sz="0" w:space="0" w:color="FFFFFF"/>
              <w:bottom w:val="single" w:sz="4" w:space="0" w:color="CFDCF2"/>
              <w:right w:val="none" w:sz="0" w:space="0" w:color="FFFFFF"/>
            </w:tcBorders>
            <w:shd w:val="clear" w:color="auto" w:fill="1F2A44"/>
            <w:tcMar>
              <w:top w:w="110" w:type="dxa"/>
              <w:left w:w="140" w:type="dxa"/>
              <w:bottom w:w="110" w:type="dxa"/>
              <w:right w:w="140" w:type="dxa"/>
            </w:tcMar>
            <w:vAlign w:val="center"/>
          </w:tcPr>
          <w:p w14:paraId="742E4835" w14:textId="77777777" w:rsidR="00F07021" w:rsidRDefault="00E733EE">
            <w:r>
              <w:rPr>
                <w:b/>
                <w:bCs/>
                <w:color w:val="FFFFFF"/>
                <w:sz w:val="20"/>
                <w:szCs w:val="20"/>
              </w:rPr>
              <w:t>Statutory Violation</w:t>
            </w:r>
          </w:p>
        </w:tc>
        <w:tc>
          <w:tcPr>
            <w:tcW w:w="1826" w:type="dxa"/>
            <w:tcBorders>
              <w:top w:val="none" w:sz="0" w:space="0" w:color="FFFFFF"/>
              <w:left w:val="none" w:sz="0" w:space="0" w:color="FFFFFF"/>
              <w:bottom w:val="single" w:sz="4" w:space="0" w:color="CFDCF2"/>
              <w:right w:val="none" w:sz="0" w:space="0" w:color="FFFFFF"/>
            </w:tcBorders>
            <w:shd w:val="clear" w:color="auto" w:fill="1F2A44"/>
            <w:tcMar>
              <w:top w:w="110" w:type="dxa"/>
              <w:left w:w="140" w:type="dxa"/>
              <w:bottom w:w="110" w:type="dxa"/>
              <w:right w:w="140" w:type="dxa"/>
            </w:tcMar>
            <w:vAlign w:val="center"/>
          </w:tcPr>
          <w:p w14:paraId="2E951064" w14:textId="77777777" w:rsidR="00F07021" w:rsidRDefault="00E733EE">
            <w:pPr>
              <w:jc w:val="center"/>
            </w:pPr>
            <w:r>
              <w:rPr>
                <w:b/>
                <w:bCs/>
                <w:color w:val="FFFFFF"/>
                <w:sz w:val="20"/>
                <w:szCs w:val="20"/>
              </w:rPr>
              <w:t>Legal Basis</w:t>
            </w:r>
          </w:p>
        </w:tc>
        <w:tc>
          <w:tcPr>
            <w:tcW w:w="4058" w:type="dxa"/>
            <w:tcBorders>
              <w:top w:val="none" w:sz="0" w:space="0" w:color="FFFFFF"/>
              <w:left w:val="none" w:sz="0" w:space="0" w:color="FFFFFF"/>
              <w:bottom w:val="single" w:sz="4" w:space="0" w:color="CFDCF2"/>
              <w:right w:val="none" w:sz="0" w:space="0" w:color="FFFFFF"/>
            </w:tcBorders>
            <w:shd w:val="clear" w:color="auto" w:fill="1F2A44"/>
            <w:tcMar>
              <w:top w:w="110" w:type="dxa"/>
              <w:left w:w="140" w:type="dxa"/>
              <w:bottom w:w="110" w:type="dxa"/>
              <w:right w:w="140" w:type="dxa"/>
            </w:tcMar>
            <w:vAlign w:val="center"/>
          </w:tcPr>
          <w:p w14:paraId="27A29EFA" w14:textId="77777777" w:rsidR="00F07021" w:rsidRDefault="00E733EE">
            <w:r>
              <w:rPr>
                <w:b/>
                <w:bCs/>
                <w:color w:val="FFFFFF"/>
                <w:sz w:val="20"/>
                <w:szCs w:val="20"/>
              </w:rPr>
              <w:t>Prescribed Penalty</w:t>
            </w:r>
          </w:p>
        </w:tc>
      </w:tr>
      <w:tr w:rsidR="00F07021" w14:paraId="36D847DF" w14:textId="77777777">
        <w:tblPrEx>
          <w:tblCellMar>
            <w:top w:w="0" w:type="dxa"/>
            <w:bottom w:w="0" w:type="dxa"/>
          </w:tblCellMar>
        </w:tblPrEx>
        <w:trPr>
          <w:cantSplit/>
        </w:trPr>
        <w:tc>
          <w:tcPr>
            <w:tcW w:w="3754" w:type="dxa"/>
            <w:tcBorders>
              <w:top w:val="single" w:sz="4" w:space="0" w:color="CFDCF2"/>
              <w:left w:val="none" w:sz="0" w:space="0" w:color="FFFFFF"/>
              <w:bottom w:val="single" w:sz="4" w:space="0" w:color="CFDCF2"/>
              <w:right w:val="none" w:sz="0" w:space="0" w:color="FFFFFF"/>
            </w:tcBorders>
            <w:shd w:val="clear" w:color="auto" w:fill="FFFFFF"/>
            <w:tcMar>
              <w:top w:w="110" w:type="dxa"/>
              <w:left w:w="140" w:type="dxa"/>
              <w:bottom w:w="110" w:type="dxa"/>
              <w:right w:w="140" w:type="dxa"/>
            </w:tcMar>
            <w:vAlign w:val="center"/>
          </w:tcPr>
          <w:p w14:paraId="7FE40E21" w14:textId="77777777" w:rsidR="00F07021" w:rsidRDefault="00E733EE">
            <w:r>
              <w:rPr>
                <w:b/>
                <w:bCs/>
                <w:color w:val="1F2A44"/>
                <w:sz w:val="20"/>
                <w:szCs w:val="20"/>
              </w:rPr>
              <w:t>Illegal Access &amp; Hacking</w:t>
            </w:r>
          </w:p>
        </w:tc>
        <w:tc>
          <w:tcPr>
            <w:tcW w:w="1826" w:type="dxa"/>
            <w:tcBorders>
              <w:top w:val="single" w:sz="4" w:space="0" w:color="CFDCF2"/>
              <w:left w:val="none" w:sz="0" w:space="0" w:color="FFFFFF"/>
              <w:bottom w:val="single" w:sz="4" w:space="0" w:color="CFDCF2"/>
              <w:right w:val="none" w:sz="0" w:space="0" w:color="FFFFFF"/>
            </w:tcBorders>
            <w:shd w:val="clear" w:color="auto" w:fill="FFFFFF"/>
            <w:tcMar>
              <w:top w:w="110" w:type="dxa"/>
              <w:left w:w="140" w:type="dxa"/>
              <w:bottom w:w="110" w:type="dxa"/>
              <w:right w:w="140" w:type="dxa"/>
            </w:tcMar>
            <w:vAlign w:val="center"/>
          </w:tcPr>
          <w:p w14:paraId="6AFEFEF9" w14:textId="77777777" w:rsidR="00F07021" w:rsidRDefault="00E733EE">
            <w:pPr>
              <w:jc w:val="center"/>
            </w:pPr>
            <w:r>
              <w:rPr>
                <w:color w:val="18213A"/>
                <w:sz w:val="20"/>
                <w:szCs w:val="20"/>
              </w:rPr>
              <w:t>Sec. 4(a)(1)</w:t>
            </w:r>
          </w:p>
        </w:tc>
        <w:tc>
          <w:tcPr>
            <w:tcW w:w="4058" w:type="dxa"/>
            <w:tcBorders>
              <w:top w:val="single" w:sz="4" w:space="0" w:color="CFDCF2"/>
              <w:left w:val="none" w:sz="0" w:space="0" w:color="FFFFFF"/>
              <w:bottom w:val="single" w:sz="4" w:space="0" w:color="CFDCF2"/>
              <w:right w:val="none" w:sz="0" w:space="0" w:color="FFFFFF"/>
            </w:tcBorders>
            <w:shd w:val="clear" w:color="auto" w:fill="FFFFFF"/>
            <w:tcMar>
              <w:top w:w="110" w:type="dxa"/>
              <w:left w:w="140" w:type="dxa"/>
              <w:bottom w:w="110" w:type="dxa"/>
              <w:right w:w="140" w:type="dxa"/>
            </w:tcMar>
            <w:vAlign w:val="center"/>
          </w:tcPr>
          <w:p w14:paraId="53888161" w14:textId="77777777" w:rsidR="00F07021" w:rsidRDefault="00E733EE">
            <w:r>
              <w:rPr>
                <w:color w:val="18213A"/>
                <w:sz w:val="20"/>
                <w:szCs w:val="20"/>
              </w:rPr>
              <w:t>Prision mayor (6 yrs 1 day to 12 yrs) or fine ≥ ₱200,000</w:t>
            </w:r>
          </w:p>
        </w:tc>
      </w:tr>
      <w:tr w:rsidR="00F07021" w14:paraId="06802968" w14:textId="77777777">
        <w:tblPrEx>
          <w:tblCellMar>
            <w:top w:w="0" w:type="dxa"/>
            <w:bottom w:w="0" w:type="dxa"/>
          </w:tblCellMar>
        </w:tblPrEx>
        <w:trPr>
          <w:cantSplit/>
        </w:trPr>
        <w:tc>
          <w:tcPr>
            <w:tcW w:w="3754" w:type="dxa"/>
            <w:tcBorders>
              <w:top w:val="single" w:sz="4" w:space="0" w:color="CFDCF2"/>
              <w:left w:val="none" w:sz="0" w:space="0" w:color="FFFFFF"/>
              <w:bottom w:val="single" w:sz="4" w:space="0" w:color="CFDCF2"/>
              <w:right w:val="none" w:sz="0" w:space="0" w:color="FFFFFF"/>
            </w:tcBorders>
            <w:shd w:val="clear" w:color="auto" w:fill="EDF3FD"/>
            <w:tcMar>
              <w:top w:w="110" w:type="dxa"/>
              <w:left w:w="140" w:type="dxa"/>
              <w:bottom w:w="110" w:type="dxa"/>
              <w:right w:w="140" w:type="dxa"/>
            </w:tcMar>
            <w:vAlign w:val="center"/>
          </w:tcPr>
          <w:p w14:paraId="224A037D" w14:textId="77777777" w:rsidR="00F07021" w:rsidRDefault="00E733EE">
            <w:r>
              <w:rPr>
                <w:b/>
                <w:bCs/>
                <w:color w:val="1F2A44"/>
                <w:sz w:val="20"/>
                <w:szCs w:val="20"/>
              </w:rPr>
              <w:t>Computer-Related Identity Theft</w:t>
            </w:r>
          </w:p>
        </w:tc>
        <w:tc>
          <w:tcPr>
            <w:tcW w:w="1826" w:type="dxa"/>
            <w:tcBorders>
              <w:top w:val="single" w:sz="4" w:space="0" w:color="CFDCF2"/>
              <w:left w:val="none" w:sz="0" w:space="0" w:color="FFFFFF"/>
              <w:bottom w:val="single" w:sz="4" w:space="0" w:color="CFDCF2"/>
              <w:right w:val="none" w:sz="0" w:space="0" w:color="FFFFFF"/>
            </w:tcBorders>
            <w:shd w:val="clear" w:color="auto" w:fill="EDF3FD"/>
            <w:tcMar>
              <w:top w:w="110" w:type="dxa"/>
              <w:left w:w="140" w:type="dxa"/>
              <w:bottom w:w="110" w:type="dxa"/>
              <w:right w:w="140" w:type="dxa"/>
            </w:tcMar>
            <w:vAlign w:val="center"/>
          </w:tcPr>
          <w:p w14:paraId="0C74A536" w14:textId="77777777" w:rsidR="00F07021" w:rsidRDefault="00E733EE">
            <w:pPr>
              <w:jc w:val="center"/>
            </w:pPr>
            <w:r>
              <w:rPr>
                <w:color w:val="18213A"/>
                <w:sz w:val="20"/>
                <w:szCs w:val="20"/>
              </w:rPr>
              <w:t>Sec. 4(b)(3)</w:t>
            </w:r>
          </w:p>
        </w:tc>
        <w:tc>
          <w:tcPr>
            <w:tcW w:w="4058" w:type="dxa"/>
            <w:tcBorders>
              <w:top w:val="single" w:sz="4" w:space="0" w:color="CFDCF2"/>
              <w:left w:val="none" w:sz="0" w:space="0" w:color="FFFFFF"/>
              <w:bottom w:val="single" w:sz="4" w:space="0" w:color="CFDCF2"/>
              <w:right w:val="none" w:sz="0" w:space="0" w:color="FFFFFF"/>
            </w:tcBorders>
            <w:shd w:val="clear" w:color="auto" w:fill="EDF3FD"/>
            <w:tcMar>
              <w:top w:w="110" w:type="dxa"/>
              <w:left w:w="140" w:type="dxa"/>
              <w:bottom w:w="110" w:type="dxa"/>
              <w:right w:w="140" w:type="dxa"/>
            </w:tcMar>
            <w:vAlign w:val="center"/>
          </w:tcPr>
          <w:p w14:paraId="71F2B113" w14:textId="77777777" w:rsidR="00F07021" w:rsidRDefault="00E733EE">
            <w:r>
              <w:rPr>
                <w:color w:val="18213A"/>
                <w:sz w:val="20"/>
                <w:szCs w:val="20"/>
              </w:rPr>
              <w:t>Prision mayor or fine ≥ ₱200,000 to ₱500,000</w:t>
            </w:r>
          </w:p>
        </w:tc>
      </w:tr>
      <w:tr w:rsidR="00F07021" w14:paraId="7E1F5BFE" w14:textId="77777777">
        <w:tblPrEx>
          <w:tblCellMar>
            <w:top w:w="0" w:type="dxa"/>
            <w:bottom w:w="0" w:type="dxa"/>
          </w:tblCellMar>
        </w:tblPrEx>
        <w:trPr>
          <w:cantSplit/>
        </w:trPr>
        <w:tc>
          <w:tcPr>
            <w:tcW w:w="3754" w:type="dxa"/>
            <w:tcBorders>
              <w:top w:val="single" w:sz="4" w:space="0" w:color="CFDCF2"/>
              <w:left w:val="none" w:sz="0" w:space="0" w:color="FFFFFF"/>
              <w:bottom w:val="single" w:sz="4" w:space="0" w:color="CFDCF2"/>
              <w:right w:val="none" w:sz="0" w:space="0" w:color="FFFFFF"/>
            </w:tcBorders>
            <w:shd w:val="clear" w:color="auto" w:fill="FFFFFF"/>
            <w:tcMar>
              <w:top w:w="110" w:type="dxa"/>
              <w:left w:w="140" w:type="dxa"/>
              <w:bottom w:w="110" w:type="dxa"/>
              <w:right w:w="140" w:type="dxa"/>
            </w:tcMar>
            <w:vAlign w:val="center"/>
          </w:tcPr>
          <w:p w14:paraId="7DC125DD" w14:textId="77777777" w:rsidR="00F07021" w:rsidRDefault="00E733EE">
            <w:r>
              <w:rPr>
                <w:b/>
                <w:bCs/>
                <w:color w:val="1F2A44"/>
                <w:sz w:val="20"/>
                <w:szCs w:val="20"/>
              </w:rPr>
              <w:t>Cyber Libel</w:t>
            </w:r>
          </w:p>
        </w:tc>
        <w:tc>
          <w:tcPr>
            <w:tcW w:w="1826" w:type="dxa"/>
            <w:tcBorders>
              <w:top w:val="single" w:sz="4" w:space="0" w:color="CFDCF2"/>
              <w:left w:val="none" w:sz="0" w:space="0" w:color="FFFFFF"/>
              <w:bottom w:val="single" w:sz="4" w:space="0" w:color="CFDCF2"/>
              <w:right w:val="none" w:sz="0" w:space="0" w:color="FFFFFF"/>
            </w:tcBorders>
            <w:shd w:val="clear" w:color="auto" w:fill="FFFFFF"/>
            <w:tcMar>
              <w:top w:w="110" w:type="dxa"/>
              <w:left w:w="140" w:type="dxa"/>
              <w:bottom w:w="110" w:type="dxa"/>
              <w:right w:w="140" w:type="dxa"/>
            </w:tcMar>
            <w:vAlign w:val="center"/>
          </w:tcPr>
          <w:p w14:paraId="75D67A21" w14:textId="77777777" w:rsidR="00F07021" w:rsidRDefault="00E733EE">
            <w:pPr>
              <w:jc w:val="center"/>
            </w:pPr>
            <w:r>
              <w:rPr>
                <w:color w:val="18213A"/>
                <w:sz w:val="20"/>
                <w:szCs w:val="20"/>
              </w:rPr>
              <w:t>Sec. 4(c)(4)</w:t>
            </w:r>
          </w:p>
        </w:tc>
        <w:tc>
          <w:tcPr>
            <w:tcW w:w="4058" w:type="dxa"/>
            <w:tcBorders>
              <w:top w:val="single" w:sz="4" w:space="0" w:color="CFDCF2"/>
              <w:left w:val="none" w:sz="0" w:space="0" w:color="FFFFFF"/>
              <w:bottom w:val="single" w:sz="4" w:space="0" w:color="CFDCF2"/>
              <w:right w:val="none" w:sz="0" w:space="0" w:color="FFFFFF"/>
            </w:tcBorders>
            <w:shd w:val="clear" w:color="auto" w:fill="FFFFFF"/>
            <w:tcMar>
              <w:top w:w="110" w:type="dxa"/>
              <w:left w:w="140" w:type="dxa"/>
              <w:bottom w:w="110" w:type="dxa"/>
              <w:right w:w="140" w:type="dxa"/>
            </w:tcMar>
            <w:vAlign w:val="center"/>
          </w:tcPr>
          <w:p w14:paraId="40184517" w14:textId="77777777" w:rsidR="00F07021" w:rsidRDefault="00E733EE">
            <w:r>
              <w:rPr>
                <w:color w:val="18213A"/>
                <w:sz w:val="20"/>
                <w:szCs w:val="20"/>
              </w:rPr>
              <w:t>Prision correccional max to prision mayor min (one degree higher)</w:t>
            </w:r>
          </w:p>
        </w:tc>
      </w:tr>
    </w:tbl>
    <w:p w14:paraId="14191AE8" w14:textId="77777777" w:rsidR="00F07021" w:rsidRDefault="00F07021">
      <w:pPr>
        <w:spacing w:after="160"/>
      </w:pPr>
    </w:p>
    <w:p w14:paraId="222A0508" w14:textId="77777777" w:rsidR="00F07021" w:rsidRDefault="00E733EE">
      <w:pPr>
        <w:keepNext/>
        <w:pBdr>
          <w:bottom w:val="single" w:sz="12" w:space="4" w:color="2F80ED"/>
        </w:pBdr>
        <w:spacing w:before="360" w:after="160"/>
        <w:outlineLvl w:val="0"/>
      </w:pPr>
      <w:r>
        <w:rPr>
          <w:b/>
          <w:bCs/>
          <w:color w:val="2F80ED"/>
          <w:sz w:val="34"/>
          <w:szCs w:val="34"/>
        </w:rPr>
        <w:t xml:space="preserve">3. </w:t>
      </w:r>
      <w:r>
        <w:rPr>
          <w:b/>
          <w:bCs/>
          <w:color w:val="1F2A44"/>
          <w:sz w:val="34"/>
          <w:szCs w:val="34"/>
        </w:rPr>
        <w:t>Student Guidelines &amp; Legal Disclaimer</w:t>
      </w:r>
    </w:p>
    <w:p w14:paraId="410FDA13" w14:textId="77777777" w:rsidR="00F07021" w:rsidRDefault="00E733EE">
      <w:pPr>
        <w:keepNext/>
        <w:spacing w:after="140" w:line="288" w:lineRule="auto"/>
      </w:pPr>
      <w:r>
        <w:rPr>
          <w:color w:val="18213A"/>
        </w:rPr>
        <w:t>To mitigate exposure to cybercrime liability and victimization on campus, students should observe:</w:t>
      </w:r>
    </w:p>
    <w:p w14:paraId="182DE066" w14:textId="77777777" w:rsidR="00F07021" w:rsidRDefault="00E733EE">
      <w:pPr>
        <w:pStyle w:val="ListParagraph"/>
        <w:numPr>
          <w:ilvl w:val="0"/>
          <w:numId w:val="2"/>
        </w:numPr>
        <w:spacing w:after="90" w:line="288" w:lineRule="auto"/>
      </w:pPr>
      <w:r>
        <w:rPr>
          <w:b/>
          <w:bCs/>
          <w:color w:val="1F2A44"/>
        </w:rPr>
        <w:t>Stringent credential security:</w:t>
      </w:r>
      <w:r>
        <w:rPr>
          <w:color w:val="18213A"/>
        </w:rPr>
        <w:t xml:space="preserve"> Enforcing unique multi-factor authentication (MFA) across university portals.</w:t>
      </w:r>
    </w:p>
    <w:p w14:paraId="33066633" w14:textId="77777777" w:rsidR="00F07021" w:rsidRDefault="00E733EE">
      <w:pPr>
        <w:pStyle w:val="ListParagraph"/>
        <w:numPr>
          <w:ilvl w:val="0"/>
          <w:numId w:val="2"/>
        </w:numPr>
        <w:spacing w:after="90" w:line="288" w:lineRule="auto"/>
      </w:pPr>
      <w:r>
        <w:rPr>
          <w:b/>
          <w:bCs/>
          <w:color w:val="1F2A44"/>
        </w:rPr>
        <w:t>Digital defamatory awareness:</w:t>
      </w:r>
      <w:r>
        <w:rPr>
          <w:color w:val="18213A"/>
        </w:rPr>
        <w:t xml:space="preserve"> Acknowledging that defamatory statements posted on public forums or private chat leaks fall under Section 4(c)(4).</w:t>
      </w:r>
    </w:p>
    <w:p w14:paraId="178B6E66" w14:textId="77777777" w:rsidR="00F07021" w:rsidRDefault="00E733EE">
      <w:pPr>
        <w:pStyle w:val="ListParagraph"/>
        <w:numPr>
          <w:ilvl w:val="0"/>
          <w:numId w:val="2"/>
        </w:numPr>
        <w:spacing w:after="90" w:line="288" w:lineRule="auto"/>
      </w:pPr>
      <w:r>
        <w:rPr>
          <w:b/>
          <w:bCs/>
          <w:color w:val="1F2A44"/>
        </w:rPr>
        <w:t>Verification of commercial transactions:</w:t>
      </w:r>
      <w:r>
        <w:rPr>
          <w:color w:val="18213A"/>
        </w:rPr>
        <w:t xml:space="preserve"> Engaging solely in verified peer-to-peer exchanges.</w:t>
      </w:r>
    </w:p>
    <w:p w14:paraId="5B16F78D" w14:textId="77777777" w:rsidR="00F07021" w:rsidRDefault="00F0702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7021" w14:paraId="43CD1854" w14:textId="77777777">
        <w:tblPrEx>
          <w:tblCellMar>
            <w:top w:w="0" w:type="dxa"/>
            <w:bottom w:w="0" w:type="dxa"/>
          </w:tblCellMar>
        </w:tblPrEx>
        <w:trPr>
          <w:cantSplit/>
        </w:trPr>
        <w:tc>
          <w:tcPr>
            <w:tcW w:w="9638" w:type="dxa"/>
            <w:tcBorders>
              <w:top w:val="none" w:sz="0" w:space="0" w:color="FFFFFF"/>
              <w:left w:val="single" w:sz="36" w:space="0" w:color="2F80ED"/>
              <w:bottom w:val="none" w:sz="0" w:space="0" w:color="FFFFFF"/>
              <w:right w:val="none" w:sz="0" w:space="0" w:color="FFFFFF"/>
            </w:tcBorders>
            <w:shd w:val="clear" w:color="auto" w:fill="EDF3FD"/>
            <w:tcMar>
              <w:top w:w="170" w:type="dxa"/>
              <w:left w:w="260" w:type="dxa"/>
              <w:bottom w:w="170" w:type="dxa"/>
              <w:right w:w="240" w:type="dxa"/>
            </w:tcMar>
          </w:tcPr>
          <w:p w14:paraId="1B23B46A" w14:textId="77777777" w:rsidR="00F07021" w:rsidRDefault="00E733EE">
            <w:pPr>
              <w:spacing w:line="288" w:lineRule="auto"/>
            </w:pPr>
            <w:r>
              <w:rPr>
                <w:b/>
                <w:bCs/>
                <w:color w:val="1F2A44"/>
              </w:rPr>
              <w:t xml:space="preserve">KEY DEFINITION — Legal Disclaimer: </w:t>
            </w:r>
            <w:r>
              <w:rPr>
                <w:color w:val="18213A"/>
              </w:rPr>
              <w:t>This academic report is compiled for educational case study analysis at STI West Negros University and does not constitute formal legal counsel. For statutory enforcement or active litigation, consult licensed legal counsel and the PNP Anti-Cybercrime Group.</w:t>
            </w:r>
          </w:p>
        </w:tc>
      </w:tr>
    </w:tbl>
    <w:p w14:paraId="2E2B35D8" w14:textId="77777777" w:rsidR="00F07021" w:rsidRDefault="00F07021">
      <w:pPr>
        <w:spacing w:after="140"/>
      </w:pPr>
    </w:p>
    <w:p w14:paraId="4ABD6574" w14:textId="77777777" w:rsidR="00F07021" w:rsidRDefault="00E733EE">
      <w:pPr>
        <w:keepNext/>
        <w:pBdr>
          <w:left w:val="single" w:sz="24" w:space="8" w:color="2F80ED"/>
        </w:pBdr>
        <w:spacing w:before="260" w:after="110"/>
        <w:outlineLvl w:val="1"/>
      </w:pPr>
      <w:r>
        <w:rPr>
          <w:b/>
          <w:bCs/>
          <w:color w:val="1F2A44"/>
          <w:sz w:val="26"/>
          <w:szCs w:val="26"/>
        </w:rPr>
        <w:lastRenderedPageBreak/>
        <w:t>Verified References</w:t>
      </w:r>
    </w:p>
    <w:p w14:paraId="5EE9DFA4" w14:textId="77777777" w:rsidR="00F07021" w:rsidRDefault="00E733EE">
      <w:pPr>
        <w:spacing w:after="110" w:line="276" w:lineRule="auto"/>
        <w:ind w:left="567" w:hanging="567"/>
      </w:pPr>
      <w:r>
        <w:rPr>
          <w:color w:val="18213A"/>
          <w:sz w:val="20"/>
          <w:szCs w:val="20"/>
        </w:rPr>
        <w:t>Cybercrime Prevention Act of 2012, Rep. Act No. 10175, 108:41 O.G. 5299 (Sept. 12, 2012) (Phil.).</w:t>
      </w:r>
    </w:p>
    <w:p w14:paraId="4D3581E0" w14:textId="77777777" w:rsidR="00F07021" w:rsidRDefault="00E733EE">
      <w:pPr>
        <w:spacing w:after="110" w:line="276" w:lineRule="auto"/>
        <w:ind w:left="567" w:hanging="567"/>
      </w:pPr>
      <w:r>
        <w:rPr>
          <w:color w:val="18213A"/>
          <w:sz w:val="20"/>
          <w:szCs w:val="20"/>
        </w:rPr>
        <w:t>Disini v. Secretary of Justice, G.R. No. 203335, 716 S.C.R.A. 237 (Feb. 18, 2014) (Phil.).</w:t>
      </w:r>
    </w:p>
    <w:p w14:paraId="18C44C6A" w14:textId="77777777" w:rsidR="00F07021" w:rsidRDefault="00E733EE">
      <w:pPr>
        <w:spacing w:after="110" w:line="276" w:lineRule="auto"/>
        <w:ind w:left="567" w:hanging="567"/>
      </w:pPr>
      <w:r>
        <w:rPr>
          <w:color w:val="18213A"/>
          <w:sz w:val="20"/>
          <w:szCs w:val="20"/>
        </w:rPr>
        <w:t>Philippine National Police Anti-Cybercrime Group. (2025). Annual Cyber Threat Assessment and Student Digital Safeguards Report. Camp Crame, Quezon City.</w:t>
      </w:r>
    </w:p>
    <w:sectPr w:rsidR="00F07021">
      <w:headerReference w:type="default" r:id="rId9"/>
      <w:footerReference w:type="default" r:id="rId10"/>
      <w:headerReference w:type="first" r:id="rId11"/>
      <w:footerReference w:type="first" r:id="rId12"/>
      <w:pgSz w:w="11906" w:h="16838"/>
      <w:pgMar w:top="1300" w:right="1134" w:bottom="1200" w:left="1134" w:header="6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AD9A5" w14:textId="77777777" w:rsidR="00E733EE" w:rsidRDefault="00E733EE">
      <w:r>
        <w:separator/>
      </w:r>
    </w:p>
  </w:endnote>
  <w:endnote w:type="continuationSeparator" w:id="0">
    <w:p w14:paraId="5D36C208" w14:textId="77777777" w:rsidR="00E733EE" w:rsidRDefault="00E73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0C460" w14:textId="77777777" w:rsidR="00F07021" w:rsidRDefault="00E733EE">
    <w:pPr>
      <w:pBdr>
        <w:top w:val="single" w:sz="4" w:space="6" w:color="CFDCF2"/>
      </w:pBdr>
      <w:jc w:val="center"/>
    </w:pPr>
    <w:r>
      <w:rPr>
        <w:color w:val="5B6B7F"/>
        <w:sz w:val="17"/>
        <w:szCs w:val="17"/>
      </w:rPr>
      <w:t xml:space="preserve">Page </w:t>
    </w:r>
    <w:r>
      <w:rPr>
        <w:b/>
        <w:bCs/>
        <w:color w:val="1F2A44"/>
        <w:sz w:val="17"/>
        <w:szCs w:val="17"/>
      </w:rPr>
      <w:fldChar w:fldCharType="begin"/>
    </w:r>
    <w:r>
      <w:rPr>
        <w:b/>
        <w:bCs/>
        <w:color w:val="1F2A44"/>
        <w:sz w:val="17"/>
        <w:szCs w:val="17"/>
      </w:rPr>
      <w:instrText>PAGE</w:instrText>
    </w:r>
    <w:r>
      <w:rPr>
        <w:b/>
        <w:bCs/>
        <w:color w:val="1F2A44"/>
        <w:sz w:val="17"/>
        <w:szCs w:val="17"/>
      </w:rPr>
      <w:fldChar w:fldCharType="separate"/>
    </w:r>
    <w:r>
      <w:rPr>
        <w:b/>
        <w:bCs/>
        <w:noProof/>
        <w:color w:val="1F2A44"/>
        <w:sz w:val="17"/>
        <w:szCs w:val="17"/>
      </w:rPr>
      <w:t>2</w:t>
    </w:r>
    <w:r>
      <w:rPr>
        <w:b/>
        <w:bCs/>
        <w:color w:val="1F2A44"/>
        <w:sz w:val="17"/>
        <w:szCs w:val="17"/>
      </w:rPr>
      <w:fldChar w:fldCharType="end"/>
    </w:r>
    <w:r>
      <w:rPr>
        <w:color w:val="5B6B7F"/>
        <w:sz w:val="17"/>
        <w:szCs w:val="17"/>
      </w:rPr>
      <w:t xml:space="preserve"> of </w:t>
    </w:r>
    <w:r>
      <w:rPr>
        <w:color w:val="5B6B7F"/>
        <w:sz w:val="17"/>
        <w:szCs w:val="17"/>
      </w:rPr>
      <w:fldChar w:fldCharType="begin"/>
    </w:r>
    <w:r>
      <w:rPr>
        <w:color w:val="5B6B7F"/>
        <w:sz w:val="17"/>
        <w:szCs w:val="17"/>
      </w:rPr>
      <w:instrText>NUMPAGES</w:instrText>
    </w:r>
    <w:r>
      <w:rPr>
        <w:color w:val="5B6B7F"/>
        <w:sz w:val="17"/>
        <w:szCs w:val="17"/>
      </w:rPr>
      <w:fldChar w:fldCharType="separate"/>
    </w:r>
    <w:r>
      <w:rPr>
        <w:noProof/>
        <w:color w:val="5B6B7F"/>
        <w:sz w:val="17"/>
        <w:szCs w:val="17"/>
      </w:rPr>
      <w:t>3</w:t>
    </w:r>
    <w:r>
      <w:rPr>
        <w:color w:val="5B6B7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E23C" w14:textId="77777777" w:rsidR="00F07021" w:rsidRDefault="00F070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AAE23" w14:textId="77777777" w:rsidR="00E733EE" w:rsidRDefault="00E733EE">
      <w:r>
        <w:separator/>
      </w:r>
    </w:p>
  </w:footnote>
  <w:footnote w:type="continuationSeparator" w:id="0">
    <w:p w14:paraId="3A282BE5" w14:textId="77777777" w:rsidR="00E733EE" w:rsidRDefault="00E73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010E" w14:textId="77777777" w:rsidR="00F07021" w:rsidRDefault="00E733EE">
    <w:pPr>
      <w:pBdr>
        <w:bottom w:val="single" w:sz="8" w:space="4" w:color="2F80ED"/>
      </w:pBdr>
      <w:tabs>
        <w:tab w:val="right" w:pos="9638"/>
      </w:tabs>
    </w:pPr>
    <w:r>
      <w:rPr>
        <w:color w:val="5B6B7F"/>
        <w:sz w:val="17"/>
        <w:szCs w:val="17"/>
      </w:rPr>
      <w:t>STI West Negros University</w:t>
    </w:r>
    <w:r>
      <w:rPr>
        <w:color w:val="5B6B7F"/>
        <w:sz w:val="17"/>
        <w:szCs w:val="17"/>
      </w:rPr>
      <w:tab/>
      <w:t>Jhon Paulo Gascon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9A1F" w14:textId="77777777" w:rsidR="00F07021" w:rsidRDefault="00F070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D28"/>
    <w:multiLevelType w:val="hybridMultilevel"/>
    <w:tmpl w:val="7FFEB466"/>
    <w:lvl w:ilvl="0" w:tplc="20F22C6A">
      <w:start w:val="1"/>
      <w:numFmt w:val="bullet"/>
      <w:lvlText w:val="•"/>
      <w:lvlJc w:val="left"/>
      <w:pPr>
        <w:ind w:left="540" w:hanging="280"/>
      </w:pPr>
      <w:rPr>
        <w:b/>
        <w:bCs/>
        <w:color w:val="2F80ED"/>
      </w:rPr>
    </w:lvl>
    <w:lvl w:ilvl="1" w:tplc="488A6A42">
      <w:numFmt w:val="decimal"/>
      <w:lvlText w:val=""/>
      <w:lvlJc w:val="left"/>
    </w:lvl>
    <w:lvl w:ilvl="2" w:tplc="E390868A">
      <w:numFmt w:val="decimal"/>
      <w:lvlText w:val=""/>
      <w:lvlJc w:val="left"/>
    </w:lvl>
    <w:lvl w:ilvl="3" w:tplc="E4C0281A">
      <w:numFmt w:val="decimal"/>
      <w:lvlText w:val=""/>
      <w:lvlJc w:val="left"/>
    </w:lvl>
    <w:lvl w:ilvl="4" w:tplc="B0346C8C">
      <w:numFmt w:val="decimal"/>
      <w:lvlText w:val=""/>
      <w:lvlJc w:val="left"/>
    </w:lvl>
    <w:lvl w:ilvl="5" w:tplc="A4446480">
      <w:numFmt w:val="decimal"/>
      <w:lvlText w:val=""/>
      <w:lvlJc w:val="left"/>
    </w:lvl>
    <w:lvl w:ilvl="6" w:tplc="EB8E6AAE">
      <w:numFmt w:val="decimal"/>
      <w:lvlText w:val=""/>
      <w:lvlJc w:val="left"/>
    </w:lvl>
    <w:lvl w:ilvl="7" w:tplc="164804F0">
      <w:numFmt w:val="decimal"/>
      <w:lvlText w:val=""/>
      <w:lvlJc w:val="left"/>
    </w:lvl>
    <w:lvl w:ilvl="8" w:tplc="DF8A3C80">
      <w:numFmt w:val="decimal"/>
      <w:lvlText w:val=""/>
      <w:lvlJc w:val="left"/>
    </w:lvl>
  </w:abstractNum>
  <w:abstractNum w:abstractNumId="1" w15:restartNumberingAfterBreak="0">
    <w:nsid w:val="28EE7F3B"/>
    <w:multiLevelType w:val="hybridMultilevel"/>
    <w:tmpl w:val="BE0A223A"/>
    <w:lvl w:ilvl="0" w:tplc="6CF8FF8A">
      <w:start w:val="1"/>
      <w:numFmt w:val="bullet"/>
      <w:lvlText w:val="●"/>
      <w:lvlJc w:val="left"/>
      <w:pPr>
        <w:ind w:left="720" w:hanging="360"/>
      </w:pPr>
    </w:lvl>
    <w:lvl w:ilvl="1" w:tplc="D9902600">
      <w:start w:val="1"/>
      <w:numFmt w:val="bullet"/>
      <w:lvlText w:val="○"/>
      <w:lvlJc w:val="left"/>
      <w:pPr>
        <w:ind w:left="1440" w:hanging="360"/>
      </w:pPr>
    </w:lvl>
    <w:lvl w:ilvl="2" w:tplc="24729278">
      <w:start w:val="1"/>
      <w:numFmt w:val="bullet"/>
      <w:lvlText w:val="■"/>
      <w:lvlJc w:val="left"/>
      <w:pPr>
        <w:ind w:left="2160" w:hanging="360"/>
      </w:pPr>
    </w:lvl>
    <w:lvl w:ilvl="3" w:tplc="7C98497C">
      <w:start w:val="1"/>
      <w:numFmt w:val="bullet"/>
      <w:lvlText w:val="●"/>
      <w:lvlJc w:val="left"/>
      <w:pPr>
        <w:ind w:left="2880" w:hanging="360"/>
      </w:pPr>
    </w:lvl>
    <w:lvl w:ilvl="4" w:tplc="A2B6CBAA">
      <w:start w:val="1"/>
      <w:numFmt w:val="bullet"/>
      <w:lvlText w:val="○"/>
      <w:lvlJc w:val="left"/>
      <w:pPr>
        <w:ind w:left="3600" w:hanging="360"/>
      </w:pPr>
    </w:lvl>
    <w:lvl w:ilvl="5" w:tplc="C742A72E">
      <w:start w:val="1"/>
      <w:numFmt w:val="bullet"/>
      <w:lvlText w:val="■"/>
      <w:lvlJc w:val="left"/>
      <w:pPr>
        <w:ind w:left="4320" w:hanging="360"/>
      </w:pPr>
    </w:lvl>
    <w:lvl w:ilvl="6" w:tplc="FE7C8954">
      <w:start w:val="1"/>
      <w:numFmt w:val="bullet"/>
      <w:lvlText w:val="●"/>
      <w:lvlJc w:val="left"/>
      <w:pPr>
        <w:ind w:left="5040" w:hanging="360"/>
      </w:pPr>
    </w:lvl>
    <w:lvl w:ilvl="7" w:tplc="BAFCF10C">
      <w:start w:val="1"/>
      <w:numFmt w:val="bullet"/>
      <w:lvlText w:val="●"/>
      <w:lvlJc w:val="left"/>
      <w:pPr>
        <w:ind w:left="5760" w:hanging="360"/>
      </w:pPr>
    </w:lvl>
    <w:lvl w:ilvl="8" w:tplc="10DABB90">
      <w:start w:val="1"/>
      <w:numFmt w:val="bullet"/>
      <w:lvlText w:val="●"/>
      <w:lvlJc w:val="left"/>
      <w:pPr>
        <w:ind w:left="6480" w:hanging="360"/>
      </w:pPr>
    </w:lvl>
  </w:abstractNum>
  <w:abstractNum w:abstractNumId="2" w15:restartNumberingAfterBreak="0">
    <w:nsid w:val="68BB11D7"/>
    <w:multiLevelType w:val="hybridMultilevel"/>
    <w:tmpl w:val="10ACEDF0"/>
    <w:lvl w:ilvl="0" w:tplc="9CD8B4EC">
      <w:start w:val="1"/>
      <w:numFmt w:val="decimal"/>
      <w:lvlText w:val="%1."/>
      <w:lvlJc w:val="left"/>
      <w:pPr>
        <w:ind w:left="540" w:hanging="360"/>
      </w:pPr>
      <w:rPr>
        <w:b/>
        <w:bCs/>
        <w:color w:val="2F80ED"/>
      </w:rPr>
    </w:lvl>
    <w:lvl w:ilvl="1" w:tplc="403A4C76">
      <w:numFmt w:val="decimal"/>
      <w:lvlText w:val=""/>
      <w:lvlJc w:val="left"/>
    </w:lvl>
    <w:lvl w:ilvl="2" w:tplc="D38ADE0E">
      <w:numFmt w:val="decimal"/>
      <w:lvlText w:val=""/>
      <w:lvlJc w:val="left"/>
    </w:lvl>
    <w:lvl w:ilvl="3" w:tplc="8196FB26">
      <w:numFmt w:val="decimal"/>
      <w:lvlText w:val=""/>
      <w:lvlJc w:val="left"/>
    </w:lvl>
    <w:lvl w:ilvl="4" w:tplc="70027DB6">
      <w:numFmt w:val="decimal"/>
      <w:lvlText w:val=""/>
      <w:lvlJc w:val="left"/>
    </w:lvl>
    <w:lvl w:ilvl="5" w:tplc="118200F6">
      <w:numFmt w:val="decimal"/>
      <w:lvlText w:val=""/>
      <w:lvlJc w:val="left"/>
    </w:lvl>
    <w:lvl w:ilvl="6" w:tplc="29D09522">
      <w:numFmt w:val="decimal"/>
      <w:lvlText w:val=""/>
      <w:lvlJc w:val="left"/>
    </w:lvl>
    <w:lvl w:ilvl="7" w:tplc="D902C22C">
      <w:numFmt w:val="decimal"/>
      <w:lvlText w:val=""/>
      <w:lvlJc w:val="left"/>
    </w:lvl>
    <w:lvl w:ilvl="8" w:tplc="A6D61136">
      <w:numFmt w:val="decimal"/>
      <w:lvlText w:val=""/>
      <w:lvlJc w:val="left"/>
    </w:lvl>
  </w:abstractNum>
  <w:num w:numId="1" w16cid:durableId="521093760">
    <w:abstractNumId w:val="1"/>
    <w:lvlOverride w:ilvl="0">
      <w:startOverride w:val="1"/>
    </w:lvlOverride>
  </w:num>
  <w:num w:numId="2" w16cid:durableId="694616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021"/>
    <w:rsid w:val="007D354B"/>
    <w:rsid w:val="00E733EE"/>
    <w:rsid w:val="00F0702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23B90"/>
  <w15:docId w15:val="{A89E0816-80D8-4BE2-977B-E0C63C27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Report: Cybercrime Prevention Act of 2012 (RA 10175)</dc:title>
  <dc:creator>Jhon Paulo Gascon</dc:creator>
  <cp:lastModifiedBy>Gascon, Jhon Paulo (Student)</cp:lastModifiedBy>
  <cp:revision>2</cp:revision>
  <cp:lastPrinted>2026-10-24T15:01:00Z</cp:lastPrinted>
  <dcterms:created xsi:type="dcterms:W3CDTF">2026-10-24T09:58:00Z</dcterms:created>
  <dcterms:modified xsi:type="dcterms:W3CDTF">2026-10-24T15:01:00Z</dcterms:modified>
</cp:coreProperties>
</file>