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  <w:jc w:val="center"/>
      </w:pPr>
      <w:r>
        <w:rPr>
          <w:rFonts w:ascii="Calibri" w:hAnsi="Calibri"/>
          <w:b/>
          <w:color w:val="6B3A19"/>
          <w:sz w:val="42"/>
        </w:rPr>
        <w:t>Commercial Feasibility &amp; Business Plan:</w:t>
        <w:br/>
        <w:t>The Campus Coffee Cart</w:t>
        <w:br/>
      </w:r>
      <w:r>
        <w:rPr>
          <w:rFonts w:ascii="Calibri" w:hAnsi="Calibri"/>
          <w:color w:val="646464"/>
          <w:sz w:val="24"/>
        </w:rPr>
        <w:t>Specialty On-the-Go Espresso, Cold Brews, and Artisanal Refreshments</w:t>
        <w:br/>
        <w:t>Tailored for STI West Negros University</w:t>
        <w:br/>
        <w:br/>
      </w:r>
    </w:p>
    <w:p>
      <w:pPr>
        <w:spacing w:before="2400"/>
        <w:jc w:val="center"/>
      </w:pPr>
      <w:r>
        <w:rPr>
          <w:rFonts w:ascii="Calibri" w:hAnsi="Calibri"/>
          <w:color w:val="464646"/>
          <w:sz w:val="22"/>
        </w:rPr>
        <w:t>Prepared by: Jhon Paulo Gascon</w:t>
        <w:br/>
        <w:t>BS Information Technology</w:t>
        <w:br/>
        <w:t>STI West Negros University</w:t>
        <w:br/>
        <w:t>Bacolod City, Philippines</w:t>
        <w:br/>
        <w:t>Academic Year 2026–2027</w:t>
      </w: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6B3A19"/>
          <w:sz w:val="30"/>
        </w:rPr>
        <w:t>1. Executive Summary &amp; Concept Rationale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The Campus Coffee Cart is a mobile, high-efficiency specialty beverage kiosk designed specifically for the collegiate environment at STI West Negros University. By bridging the gap between premium third-wave coffee quality and student-friendly pricing, the business targets early-morning commuters, exam-season study groups, and faculty members seeking swift service without leaving campus grounds.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DF8F6"/>
            <w:tcMar>
              <w:top w:w="140" w:type="dxa"/>
              <w:bottom w:w="140" w:type="dxa"/>
              <w:left w:w="200" w:type="dxa"/>
              <w:right w:w="160" w:type="dxa"/>
            </w:tcMar>
            <w:tcBorders>
              <w:left w:val="single" w:sz="24" w:space="0" w:color="6B3A19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6B3A19"/>
                <w:sz w:val="20"/>
              </w:rPr>
              <w:t xml:space="preserve">KEY DEFINITION — Value Proposition: </w:t>
            </w:r>
            <w:r>
              <w:rPr>
                <w:rFonts w:ascii="Calibri" w:hAnsi="Calibri"/>
                <w:color w:val="323232"/>
                <w:sz w:val="20"/>
              </w:rPr>
              <w:t>High-speed espresso extraction in under 60 seconds, localized Negros-sourced coffee beans, cashless QR payments, and sustainable biodegradable cups.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6B3A19"/>
          <w:sz w:val="25"/>
        </w:rPr>
        <w:t>Operational Workflow Architecture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The cart features a streamlined linear workflow to ensure zero bottlenecking during peak 15-minute class changeover intervals: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19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ffee_cart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6464"/>
          <w:sz w:val="19"/>
        </w:rPr>
        <w:t>Figure 1: Campus Cart Workflow &amp; POS Order Fulfillment Blueprint.</w:t>
      </w:r>
    </w:p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6B3A19"/>
          <w:sz w:val="30"/>
        </w:rPr>
        <w:t>2. 12-Month Financial Projections &amp; Unit Economics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With an initial capital expenditure of ₱120,000 covering commercial espresso machinery, mobile chassis fabrication, and initial inventory, the business achieves operational break-even by Month 2, accelerating to substantial net operating margins by mid-year.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84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ffee_cart_financi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6464"/>
          <w:sz w:val="19"/>
        </w:rPr>
        <w:t>Figure 2: 12-Month Projected Revenue, Expenses, and Net Margin Curve.</w:t>
      </w:r>
    </w:p>
    <w:p>
      <w:pPr>
        <w:keepNext/>
        <w:spacing w:before="200" w:after="80"/>
      </w:pPr>
      <w:r>
        <w:rPr>
          <w:rFonts w:ascii="Calibri" w:hAnsi="Calibri"/>
          <w:b/>
          <w:color w:val="6B3A19"/>
          <w:sz w:val="25"/>
        </w:rPr>
        <w:t>Core Menu Unit Economics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6B3A1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Product Item</w:t>
            </w:r>
          </w:p>
        </w:tc>
        <w:tc>
          <w:tcPr>
            <w:tcW w:type="dxa" w:w="2257"/>
            <w:shd w:fill="6B3A1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COGS (₱)</w:t>
            </w:r>
          </w:p>
        </w:tc>
        <w:tc>
          <w:tcPr>
            <w:tcW w:type="dxa" w:w="2257"/>
            <w:shd w:fill="6B3A1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Retail Price (₱)</w:t>
            </w:r>
          </w:p>
        </w:tc>
        <w:tc>
          <w:tcPr>
            <w:tcW w:type="dxa" w:w="2257"/>
            <w:shd w:fill="6B3A1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Gross Margin (%)</w:t>
            </w:r>
          </w:p>
        </w:tc>
      </w:tr>
      <w:tr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Iced Americano (16 oz)</w:t>
            </w:r>
          </w:p>
        </w:tc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₱18.50</w:t>
            </w:r>
          </w:p>
        </w:tc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₱55.00</w:t>
            </w:r>
          </w:p>
        </w:tc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66.4%</w:t>
            </w:r>
          </w:p>
        </w:tc>
      </w:tr>
      <w:tr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Spanish Latte (16 oz)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₱24.00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₱75.00</w:t>
            </w:r>
          </w:p>
        </w:tc>
        <w:tc>
          <w:tcPr>
            <w:tcW w:type="dxa" w:w="2257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68.0%</w:t>
            </w:r>
          </w:p>
        </w:tc>
      </w:tr>
      <w:tr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Cold Brew Nitro Infusion</w:t>
            </w:r>
          </w:p>
        </w:tc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₱22.00</w:t>
            </w:r>
          </w:p>
        </w:tc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₱70.00</w:t>
            </w:r>
          </w:p>
        </w:tc>
        <w:tc>
          <w:tcPr>
            <w:tcW w:type="dxa" w:w="2257"/>
            <w:shd w:fill="FDF8F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282828"/>
                <w:sz w:val="19"/>
              </w:rPr>
              <w:t>68.5%</w:t>
            </w:r>
          </w:p>
        </w:tc>
      </w:tr>
    </w:tbl>
    <w:p>
      <w:r>
        <w:br w:type="page"/>
      </w:r>
    </w:p>
    <w:p>
      <w:pPr>
        <w:keepNext/>
        <w:spacing w:before="280" w:after="120"/>
      </w:pPr>
      <w:r>
        <w:rPr>
          <w:rFonts w:ascii="Calibri" w:hAnsi="Calibri"/>
          <w:b/>
          <w:color w:val="6B3A19"/>
          <w:sz w:val="30"/>
        </w:rPr>
        <w:t>3. Strategic Growth &amp; Campus Loyalty Program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To solidify customer retention, the venture will introduce the 'BrewPass' digital loyalty stamp system integrated into student smartphones via GCash and Maya miniprograms. Customers earn 1 free drink for every 8 purchases, driving recurring campus foot traffic.</w:t>
      </w:r>
    </w:p>
    <w:p>
      <w:pPr>
        <w:keepNext/>
        <w:spacing w:before="200" w:after="80"/>
      </w:pPr>
      <w:r>
        <w:rPr>
          <w:rFonts w:ascii="Calibri" w:hAnsi="Calibri"/>
          <w:b/>
          <w:color w:val="6B3A19"/>
          <w:sz w:val="25"/>
        </w:rPr>
        <w:t>Risk Mitigation Strategy</w:t>
      </w:r>
    </w:p>
    <w:p>
      <w:pPr>
        <w:spacing w:before="0" w:after="120" w:line="276" w:lineRule="auto"/>
      </w:pPr>
      <w:r>
        <w:rPr>
          <w:rFonts w:ascii="Calibri" w:hAnsi="Calibri"/>
          <w:color w:val="2D2D2D"/>
          <w:sz w:val="21"/>
        </w:rPr>
        <w:t>• Power Reliability: Dual-battery backup inverter guarantees unhindered refrigeration during campus brownouts.</w:t>
        <w:br/>
        <w:t>• Raw Material Price Fluctuations: Direct quarterly procurement contracts with local mountain cooperatives in Canlaon and Silay.</w:t>
        <w:br/>
        <w:t>• Quality Consistency: Standardized recipe cards and volumetric grinder dosing ensures uniform cup profiles across student barista shifts.</w:t>
      </w:r>
    </w:p>
    <w:p>
      <w:pPr>
        <w:keepNext/>
        <w:spacing w:before="280" w:after="120"/>
      </w:pPr>
      <w:r>
        <w:rPr>
          <w:rFonts w:ascii="Calibri" w:hAnsi="Calibri"/>
          <w:b/>
          <w:color w:val="6B3A19"/>
          <w:sz w:val="30"/>
        </w:rPr>
        <w:t>References &amp; Feasibility Sources</w:t>
      </w:r>
    </w:p>
    <w:p>
      <w:pPr>
        <w:spacing w:after="80"/>
        <w:ind w:left="720" w:hanging="720"/>
      </w:pPr>
      <w:r>
        <w:rPr>
          <w:rFonts w:ascii="Calibri" w:hAnsi="Calibri"/>
          <w:color w:val="3C3C3C"/>
          <w:sz w:val="18"/>
        </w:rPr>
        <w:t>Department of Trade and Industry. (2025). Micro, Small, and Medium Enterprises (MSME) Food &amp; Beverage Development Guide. Makati City, Philippines.</w:t>
      </w:r>
    </w:p>
    <w:p>
      <w:pPr>
        <w:spacing w:after="80"/>
        <w:ind w:left="720" w:hanging="720"/>
      </w:pPr>
      <w:r>
        <w:rPr>
          <w:rFonts w:ascii="Calibri" w:hAnsi="Calibri"/>
          <w:color w:val="3C3C3C"/>
          <w:sz w:val="18"/>
        </w:rPr>
        <w:t>Gascon, J. P. (2026). Feasibility analysis of micro-retail food ventures in collegiate academic clusters. STI WNU Entrepreneurship Case Studies, 3(1), 45–59.</w:t>
      </w:r>
    </w:p>
    <w:p>
      <w:pPr>
        <w:spacing w:after="80"/>
        <w:ind w:left="720" w:hanging="720"/>
      </w:pPr>
      <w:r>
        <w:rPr>
          <w:rFonts w:ascii="Calibri" w:hAnsi="Calibri"/>
          <w:color w:val="3C3C3C"/>
          <w:sz w:val="18"/>
        </w:rPr>
        <w:t>Specialty Coffee Association. (2024). Global Economics of Mobile Coffee Kiosks and On-the-Go Beverage Delivery. SCA Research Publications.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