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Calibri" w:hAnsi="Calibri"/>
          <w:b/>
          <w:color w:val="1B365D"/>
          <w:sz w:val="44"/>
        </w:rPr>
        <w:t>Effects of Social Media Use on the Study Habits of College Students</w:t>
        <w:br/>
      </w:r>
      <w:r>
        <w:rPr>
          <w:rFonts w:ascii="Calibri" w:hAnsi="Calibri"/>
          <w:color w:val="646464"/>
          <w:sz w:val="24"/>
        </w:rPr>
        <w:t>A Quantitative Correlational Study on Screen Time, Focus Fragmentation, and GPA</w:t>
        <w:br/>
        <w:br/>
      </w:r>
    </w:p>
    <w:p>
      <w:pPr>
        <w:spacing w:before="2400"/>
        <w:jc w:val="center"/>
      </w:pPr>
      <w:r>
        <w:rPr>
          <w:rFonts w:ascii="Calibri" w:hAnsi="Calibri"/>
          <w:color w:val="464646"/>
          <w:sz w:val="22"/>
        </w:rPr>
        <w:t>Authored by: Jhon Paulo Gascon</w:t>
        <w:br/>
        <w:t>College of Information Technology</w:t>
        <w:br/>
        <w:t>STI West Negros University</w:t>
        <w:br/>
        <w:t>Bacolod City, Philippines</w:t>
        <w:br/>
        <w:t>Academic Year 2026–2027</w:t>
      </w:r>
    </w:p>
    <w:p>
      <w:r>
        <w:br w:type="page"/>
      </w:r>
    </w:p>
    <w:p>
      <w:pPr>
        <w:keepNext/>
        <w:spacing w:before="280" w:after="120"/>
      </w:pPr>
      <w:r>
        <w:rPr>
          <w:rFonts w:ascii="Calibri" w:hAnsi="Calibri"/>
          <w:b/>
          <w:color w:val="1B365D"/>
          <w:sz w:val="30"/>
        </w:rPr>
        <w:t>1. Introduction &amp; Theoretical Framework</w:t>
      </w:r>
    </w:p>
    <w:p>
      <w:pPr>
        <w:spacing w:before="0" w:after="120" w:line="276" w:lineRule="auto"/>
      </w:pPr>
      <w:r>
        <w:rPr>
          <w:rFonts w:ascii="Calibri" w:hAnsi="Calibri"/>
          <w:color w:val="2D2D2D"/>
          <w:sz w:val="21"/>
        </w:rPr>
        <w:t>The ubiquitous penetration of digital platforms has fundamentally altered the academic routines of undergraduate students. College learners increasingly toggle between lecture slides, research repositories, and instant messaging interfaces. While social media facilitates peer communication and access to academic communities, empirical research underscores an escalating risk of cognitive fragmentation, sleep displacement, and procrastination.</w:t>
      </w:r>
    </w:p>
    <w:tbl>
      <w:tblPr>
        <w:tblW w:type="auto" w:w="0"/>
        <w:jc w:val="center"/>
        <w:tblLook w:firstColumn="1" w:firstRow="1" w:lastColumn="0" w:lastRow="0" w:noHBand="0" w:noVBand="1" w:val="04A0"/>
      </w:tblPr>
      <w:tblGrid>
        <w:gridCol w:w="9029"/>
      </w:tblGrid>
      <w:tr>
        <w:tc>
          <w:tcPr>
            <w:tcW w:type="dxa" w:w="9029"/>
            <w:shd w:fill="F0F4F8"/>
            <w:tcMar>
              <w:top w:w="140" w:type="dxa"/>
              <w:bottom w:w="140" w:type="dxa"/>
              <w:left w:w="200" w:type="dxa"/>
              <w:right w:w="160" w:type="dxa"/>
            </w:tcMar>
            <w:tcBorders>
              <w:left w:val="single" w:sz="24" w:space="0" w:color="1B365D"/>
              <w:top w:val="none"/>
              <w:right w:val="none"/>
              <w:bottom w:val="none"/>
            </w:tcBorders>
          </w:tcPr>
          <w:p>
            <w:pPr>
              <w:spacing w:before="40" w:after="40"/>
            </w:pPr>
            <w:r>
              <w:rPr>
                <w:rFonts w:ascii="Calibri" w:hAnsi="Calibri"/>
                <w:b/>
                <w:color w:val="1B365D"/>
                <w:sz w:val="20"/>
              </w:rPr>
              <w:t xml:space="preserve">KEY DEFINITION — Cognitive Fragmentation: </w:t>
            </w:r>
            <w:r>
              <w:rPr>
                <w:rFonts w:ascii="Calibri" w:hAnsi="Calibri"/>
                <w:color w:val="323232"/>
                <w:sz w:val="20"/>
              </w:rPr>
              <w:t>The continuous interruption of deep work cycles caused by rapid task-switching between academic tasks and algorithmic social feeds.</w:t>
            </w:r>
          </w:p>
        </w:tc>
      </w:tr>
    </w:tbl>
    <w:p>
      <w:pPr>
        <w:spacing w:after="80"/>
      </w:pPr>
    </w:p>
    <w:p>
      <w:pPr>
        <w:keepNext/>
        <w:spacing w:before="200" w:after="80"/>
      </w:pPr>
      <w:r>
        <w:rPr>
          <w:rFonts w:ascii="Calibri" w:hAnsi="Calibri"/>
          <w:b/>
          <w:color w:val="1B365D"/>
          <w:sz w:val="25"/>
        </w:rPr>
        <w:t>Conceptual Paradigm</w:t>
      </w:r>
    </w:p>
    <w:p>
      <w:pPr>
        <w:spacing w:before="0" w:after="120" w:line="276" w:lineRule="auto"/>
      </w:pPr>
      <w:r>
        <w:rPr>
          <w:rFonts w:ascii="Calibri" w:hAnsi="Calibri"/>
          <w:color w:val="2D2D2D"/>
          <w:sz w:val="21"/>
        </w:rPr>
        <w:t>To evaluate how independent usage variables affect scholastic outcomes, this study implements an Input-Process-Output conceptual framework correlating daily screen time with grade point average.</w:t>
      </w:r>
    </w:p>
    <w:p>
      <w:pPr>
        <w:keepNext/>
        <w:spacing w:before="160" w:after="80"/>
        <w:jc w:val="center"/>
      </w:pPr>
      <w:r>
        <w:drawing>
          <wp:inline xmlns:a="http://schemas.openxmlformats.org/drawingml/2006/main" xmlns:pic="http://schemas.openxmlformats.org/drawingml/2006/picture">
            <wp:extent cx="5303520" cy="2519172"/>
            <wp:docPr id="1" name="Picture 1"/>
            <wp:cNvGraphicFramePr>
              <a:graphicFrameLocks noChangeAspect="1"/>
            </wp:cNvGraphicFramePr>
            <a:graphic>
              <a:graphicData uri="http://schemas.openxmlformats.org/drawingml/2006/picture">
                <pic:pic>
                  <pic:nvPicPr>
                    <pic:cNvPr id="0" name="social_media_framework.png"/>
                    <pic:cNvPicPr/>
                  </pic:nvPicPr>
                  <pic:blipFill>
                    <a:blip r:embed="rId9"/>
                    <a:stretch>
                      <a:fillRect/>
                    </a:stretch>
                  </pic:blipFill>
                  <pic:spPr>
                    <a:xfrm>
                      <a:off x="0" y="0"/>
                      <a:ext cx="5303520" cy="2519172"/>
                    </a:xfrm>
                    <a:prstGeom prst="rect"/>
                  </pic:spPr>
                </pic:pic>
              </a:graphicData>
            </a:graphic>
          </wp:inline>
        </w:drawing>
      </w:r>
    </w:p>
    <w:p>
      <w:pPr>
        <w:spacing w:before="40" w:after="200"/>
        <w:jc w:val="center"/>
      </w:pPr>
      <w:r>
        <w:rPr>
          <w:rFonts w:ascii="Calibri" w:hAnsi="Calibri"/>
          <w:i/>
          <w:color w:val="646464"/>
          <w:sz w:val="19"/>
        </w:rPr>
        <w:t>Figure 1: Conceptual Framework of Social Media Habit Disruption.</w:t>
      </w:r>
    </w:p>
    <w:p>
      <w:r>
        <w:br w:type="page"/>
      </w:r>
    </w:p>
    <w:p>
      <w:pPr>
        <w:keepNext/>
        <w:spacing w:before="280" w:after="120"/>
      </w:pPr>
      <w:r>
        <w:rPr>
          <w:rFonts w:ascii="Calibri" w:hAnsi="Calibri"/>
          <w:b/>
          <w:color w:val="1B365D"/>
          <w:sz w:val="30"/>
        </w:rPr>
        <w:t>2. Empirical Methodology &amp; Survey Results</w:t>
      </w:r>
    </w:p>
    <w:p>
      <w:pPr>
        <w:spacing w:before="0" w:after="120" w:line="276" w:lineRule="auto"/>
      </w:pPr>
      <w:r>
        <w:rPr>
          <w:rFonts w:ascii="Calibri" w:hAnsi="Calibri"/>
          <w:color w:val="2D2D2D"/>
          <w:sz w:val="21"/>
        </w:rPr>
        <w:t>A descriptive correlational design was utilized, surveying N=120 undergraduate college respondents across diverse technological and business disciplines at STI West Negros University. Self-reported automated screen-time trackers were cross-referenced against mid-semester cumulative GPAs.</w:t>
      </w:r>
    </w:p>
    <w:p>
      <w:pPr>
        <w:keepNext/>
        <w:spacing w:before="160" w:after="8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social_media_chart.png"/>
                    <pic:cNvPicPr/>
                  </pic:nvPicPr>
                  <pic:blipFill>
                    <a:blip r:embed="rId10"/>
                    <a:stretch>
                      <a:fillRect/>
                    </a:stretch>
                  </pic:blipFill>
                  <pic:spPr>
                    <a:xfrm>
                      <a:off x="0" y="0"/>
                      <a:ext cx="5303520" cy="2983230"/>
                    </a:xfrm>
                    <a:prstGeom prst="rect"/>
                  </pic:spPr>
                </pic:pic>
              </a:graphicData>
            </a:graphic>
          </wp:inline>
        </w:drawing>
      </w:r>
    </w:p>
    <w:p>
      <w:pPr>
        <w:spacing w:before="40" w:after="200"/>
        <w:jc w:val="center"/>
      </w:pPr>
      <w:r>
        <w:rPr>
          <w:rFonts w:ascii="Calibri" w:hAnsi="Calibri"/>
          <w:i/>
          <w:color w:val="646464"/>
          <w:sz w:val="19"/>
        </w:rPr>
        <w:t>Figure 2: Mean GPA Distribution Across Daily Social Media Usage Brackets.</w:t>
      </w:r>
    </w:p>
    <w:p>
      <w:pPr>
        <w:keepNext/>
        <w:spacing w:before="200" w:after="80"/>
      </w:pPr>
      <w:r>
        <w:rPr>
          <w:rFonts w:ascii="Calibri" w:hAnsi="Calibri"/>
          <w:b/>
          <w:color w:val="1B365D"/>
          <w:sz w:val="25"/>
        </w:rPr>
        <w:t>Summary of Usage Patterns</w:t>
      </w:r>
    </w:p>
    <w:tbl>
      <w:tblPr>
        <w:tblW w:type="auto" w:w="0"/>
        <w:jc w:val="center"/>
        <w:tblLook w:firstColumn="1" w:firstRow="1" w:lastColumn="0" w:lastRow="0" w:noHBand="0" w:noVBand="1" w:val="04A0"/>
      </w:tblPr>
      <w:tblGrid>
        <w:gridCol w:w="2257"/>
        <w:gridCol w:w="2257"/>
        <w:gridCol w:w="2257"/>
        <w:gridCol w:w="2257"/>
      </w:tblGrid>
      <w:tr>
        <w:tc>
          <w:tcPr>
            <w:tcW w:type="dxa" w:w="2257"/>
            <w:shd w:fill="1B365D"/>
            <w:tcMar>
              <w:top w:w="80" w:type="dxa"/>
              <w:bottom w:w="80" w:type="dxa"/>
              <w:left w:w="100" w:type="dxa"/>
              <w:right w:w="100" w:type="dxa"/>
            </w:tcMar>
          </w:tcPr>
          <w:p>
            <w:r>
              <w:rPr>
                <w:b/>
                <w:color w:val="FFFFFF"/>
                <w:sz w:val="19"/>
              </w:rPr>
              <w:t>Usage Tier</w:t>
            </w:r>
          </w:p>
        </w:tc>
        <w:tc>
          <w:tcPr>
            <w:tcW w:type="dxa" w:w="2257"/>
            <w:shd w:fill="1B365D"/>
            <w:tcMar>
              <w:top w:w="80" w:type="dxa"/>
              <w:bottom w:w="80" w:type="dxa"/>
              <w:left w:w="100" w:type="dxa"/>
              <w:right w:w="100" w:type="dxa"/>
            </w:tcMar>
          </w:tcPr>
          <w:p>
            <w:r>
              <w:rPr>
                <w:b/>
                <w:color w:val="FFFFFF"/>
                <w:sz w:val="19"/>
              </w:rPr>
              <w:t>Daily Screen Time</w:t>
            </w:r>
          </w:p>
        </w:tc>
        <w:tc>
          <w:tcPr>
            <w:tcW w:type="dxa" w:w="2257"/>
            <w:shd w:fill="1B365D"/>
            <w:tcMar>
              <w:top w:w="80" w:type="dxa"/>
              <w:bottom w:w="80" w:type="dxa"/>
              <w:left w:w="100" w:type="dxa"/>
              <w:right w:w="100" w:type="dxa"/>
            </w:tcMar>
          </w:tcPr>
          <w:p>
            <w:r>
              <w:rPr>
                <w:b/>
                <w:color w:val="FFFFFF"/>
                <w:sz w:val="19"/>
              </w:rPr>
              <w:t>Sample (n)</w:t>
            </w:r>
          </w:p>
        </w:tc>
        <w:tc>
          <w:tcPr>
            <w:tcW w:type="dxa" w:w="2257"/>
            <w:shd w:fill="1B365D"/>
            <w:tcMar>
              <w:top w:w="80" w:type="dxa"/>
              <w:bottom w:w="80" w:type="dxa"/>
              <w:left w:w="100" w:type="dxa"/>
              <w:right w:w="100" w:type="dxa"/>
            </w:tcMar>
          </w:tcPr>
          <w:p>
            <w:r>
              <w:rPr>
                <w:b/>
                <w:color w:val="FFFFFF"/>
                <w:sz w:val="19"/>
              </w:rPr>
              <w:t>Mean GPA</w:t>
            </w:r>
          </w:p>
        </w:tc>
      </w:tr>
      <w:tr>
        <w:tc>
          <w:tcPr>
            <w:tcW w:type="dxa" w:w="2257"/>
            <w:shd w:fill="F8FAFC"/>
            <w:tcMar>
              <w:top w:w="60" w:type="dxa"/>
              <w:bottom w:w="60" w:type="dxa"/>
              <w:left w:w="100" w:type="dxa"/>
              <w:right w:w="100" w:type="dxa"/>
            </w:tcMar>
          </w:tcPr>
          <w:p>
            <w:r>
              <w:rPr>
                <w:color w:val="282828"/>
                <w:sz w:val="19"/>
              </w:rPr>
              <w:t>Minimal Usage</w:t>
            </w:r>
          </w:p>
        </w:tc>
        <w:tc>
          <w:tcPr>
            <w:tcW w:type="dxa" w:w="2257"/>
            <w:shd w:fill="F8FAFC"/>
            <w:tcMar>
              <w:top w:w="60" w:type="dxa"/>
              <w:bottom w:w="60" w:type="dxa"/>
              <w:left w:w="100" w:type="dxa"/>
              <w:right w:w="100" w:type="dxa"/>
            </w:tcMar>
          </w:tcPr>
          <w:p>
            <w:r>
              <w:rPr>
                <w:color w:val="282828"/>
                <w:sz w:val="19"/>
              </w:rPr>
              <w:t>&lt; 2 Hours/day</w:t>
            </w:r>
          </w:p>
        </w:tc>
        <w:tc>
          <w:tcPr>
            <w:tcW w:type="dxa" w:w="2257"/>
            <w:shd w:fill="F8FAFC"/>
            <w:tcMar>
              <w:top w:w="60" w:type="dxa"/>
              <w:bottom w:w="60" w:type="dxa"/>
              <w:left w:w="100" w:type="dxa"/>
              <w:right w:w="100" w:type="dxa"/>
            </w:tcMar>
          </w:tcPr>
          <w:p>
            <w:r>
              <w:rPr>
                <w:color w:val="282828"/>
                <w:sz w:val="19"/>
              </w:rPr>
              <w:t>24</w:t>
            </w:r>
          </w:p>
        </w:tc>
        <w:tc>
          <w:tcPr>
            <w:tcW w:type="dxa" w:w="2257"/>
            <w:shd w:fill="F8FAFC"/>
            <w:tcMar>
              <w:top w:w="60" w:type="dxa"/>
              <w:bottom w:w="60" w:type="dxa"/>
              <w:left w:w="100" w:type="dxa"/>
              <w:right w:w="100" w:type="dxa"/>
            </w:tcMar>
          </w:tcPr>
          <w:p>
            <w:r>
              <w:rPr>
                <w:color w:val="282828"/>
                <w:sz w:val="19"/>
              </w:rPr>
              <w:t>3.45</w:t>
            </w:r>
          </w:p>
        </w:tc>
      </w:tr>
      <w:tr>
        <w:tc>
          <w:tcPr>
            <w:tcW w:type="dxa" w:w="2257"/>
            <w:shd w:fill="FFFFFF"/>
            <w:tcMar>
              <w:top w:w="60" w:type="dxa"/>
              <w:bottom w:w="60" w:type="dxa"/>
              <w:left w:w="100" w:type="dxa"/>
              <w:right w:w="100" w:type="dxa"/>
            </w:tcMar>
          </w:tcPr>
          <w:p>
            <w:r>
              <w:rPr>
                <w:color w:val="282828"/>
                <w:sz w:val="19"/>
              </w:rPr>
              <w:t>Moderate Usage</w:t>
            </w:r>
          </w:p>
        </w:tc>
        <w:tc>
          <w:tcPr>
            <w:tcW w:type="dxa" w:w="2257"/>
            <w:shd w:fill="FFFFFF"/>
            <w:tcMar>
              <w:top w:w="60" w:type="dxa"/>
              <w:bottom w:w="60" w:type="dxa"/>
              <w:left w:w="100" w:type="dxa"/>
              <w:right w:w="100" w:type="dxa"/>
            </w:tcMar>
          </w:tcPr>
          <w:p>
            <w:r>
              <w:rPr>
                <w:color w:val="282828"/>
                <w:sz w:val="19"/>
              </w:rPr>
              <w:t>2 – 4 Hours/day</w:t>
            </w:r>
          </w:p>
        </w:tc>
        <w:tc>
          <w:tcPr>
            <w:tcW w:type="dxa" w:w="2257"/>
            <w:shd w:fill="FFFFFF"/>
            <w:tcMar>
              <w:top w:w="60" w:type="dxa"/>
              <w:bottom w:w="60" w:type="dxa"/>
              <w:left w:w="100" w:type="dxa"/>
              <w:right w:w="100" w:type="dxa"/>
            </w:tcMar>
          </w:tcPr>
          <w:p>
            <w:r>
              <w:rPr>
                <w:color w:val="282828"/>
                <w:sz w:val="19"/>
              </w:rPr>
              <w:t>48</w:t>
            </w:r>
          </w:p>
        </w:tc>
        <w:tc>
          <w:tcPr>
            <w:tcW w:type="dxa" w:w="2257"/>
            <w:shd w:fill="FFFFFF"/>
            <w:tcMar>
              <w:top w:w="60" w:type="dxa"/>
              <w:bottom w:w="60" w:type="dxa"/>
              <w:left w:w="100" w:type="dxa"/>
              <w:right w:w="100" w:type="dxa"/>
            </w:tcMar>
          </w:tcPr>
          <w:p>
            <w:r>
              <w:rPr>
                <w:color w:val="282828"/>
                <w:sz w:val="19"/>
              </w:rPr>
              <w:t>3.18</w:t>
            </w:r>
          </w:p>
        </w:tc>
      </w:tr>
      <w:tr>
        <w:tc>
          <w:tcPr>
            <w:tcW w:type="dxa" w:w="2257"/>
            <w:shd w:fill="F8FAFC"/>
            <w:tcMar>
              <w:top w:w="60" w:type="dxa"/>
              <w:bottom w:w="60" w:type="dxa"/>
              <w:left w:w="100" w:type="dxa"/>
              <w:right w:w="100" w:type="dxa"/>
            </w:tcMar>
          </w:tcPr>
          <w:p>
            <w:r>
              <w:rPr>
                <w:color w:val="282828"/>
                <w:sz w:val="19"/>
              </w:rPr>
              <w:t>High Usage</w:t>
            </w:r>
          </w:p>
        </w:tc>
        <w:tc>
          <w:tcPr>
            <w:tcW w:type="dxa" w:w="2257"/>
            <w:shd w:fill="F8FAFC"/>
            <w:tcMar>
              <w:top w:w="60" w:type="dxa"/>
              <w:bottom w:w="60" w:type="dxa"/>
              <w:left w:w="100" w:type="dxa"/>
              <w:right w:w="100" w:type="dxa"/>
            </w:tcMar>
          </w:tcPr>
          <w:p>
            <w:r>
              <w:rPr>
                <w:color w:val="282828"/>
                <w:sz w:val="19"/>
              </w:rPr>
              <w:t>4 – 6 Hours/day</w:t>
            </w:r>
          </w:p>
        </w:tc>
        <w:tc>
          <w:tcPr>
            <w:tcW w:type="dxa" w:w="2257"/>
            <w:shd w:fill="F8FAFC"/>
            <w:tcMar>
              <w:top w:w="60" w:type="dxa"/>
              <w:bottom w:w="60" w:type="dxa"/>
              <w:left w:w="100" w:type="dxa"/>
              <w:right w:w="100" w:type="dxa"/>
            </w:tcMar>
          </w:tcPr>
          <w:p>
            <w:r>
              <w:rPr>
                <w:color w:val="282828"/>
                <w:sz w:val="19"/>
              </w:rPr>
              <w:t>32</w:t>
            </w:r>
          </w:p>
        </w:tc>
        <w:tc>
          <w:tcPr>
            <w:tcW w:type="dxa" w:w="2257"/>
            <w:shd w:fill="F8FAFC"/>
            <w:tcMar>
              <w:top w:w="60" w:type="dxa"/>
              <w:bottom w:w="60" w:type="dxa"/>
              <w:left w:w="100" w:type="dxa"/>
              <w:right w:w="100" w:type="dxa"/>
            </w:tcMar>
          </w:tcPr>
          <w:p>
            <w:r>
              <w:rPr>
                <w:color w:val="282828"/>
                <w:sz w:val="19"/>
              </w:rPr>
              <w:t>2.72</w:t>
            </w:r>
          </w:p>
        </w:tc>
      </w:tr>
      <w:tr>
        <w:tc>
          <w:tcPr>
            <w:tcW w:type="dxa" w:w="2257"/>
            <w:shd w:fill="FFFFFF"/>
            <w:tcMar>
              <w:top w:w="60" w:type="dxa"/>
              <w:bottom w:w="60" w:type="dxa"/>
              <w:left w:w="100" w:type="dxa"/>
              <w:right w:w="100" w:type="dxa"/>
            </w:tcMar>
          </w:tcPr>
          <w:p>
            <w:r>
              <w:rPr>
                <w:color w:val="282828"/>
                <w:sz w:val="19"/>
              </w:rPr>
              <w:t>Severe Usage</w:t>
            </w:r>
          </w:p>
        </w:tc>
        <w:tc>
          <w:tcPr>
            <w:tcW w:type="dxa" w:w="2257"/>
            <w:shd w:fill="FFFFFF"/>
            <w:tcMar>
              <w:top w:w="60" w:type="dxa"/>
              <w:bottom w:w="60" w:type="dxa"/>
              <w:left w:w="100" w:type="dxa"/>
              <w:right w:w="100" w:type="dxa"/>
            </w:tcMar>
          </w:tcPr>
          <w:p>
            <w:r>
              <w:rPr>
                <w:color w:val="282828"/>
                <w:sz w:val="19"/>
              </w:rPr>
              <w:t>&gt; 6 Hours/day</w:t>
            </w:r>
          </w:p>
        </w:tc>
        <w:tc>
          <w:tcPr>
            <w:tcW w:type="dxa" w:w="2257"/>
            <w:shd w:fill="FFFFFF"/>
            <w:tcMar>
              <w:top w:w="60" w:type="dxa"/>
              <w:bottom w:w="60" w:type="dxa"/>
              <w:left w:w="100" w:type="dxa"/>
              <w:right w:w="100" w:type="dxa"/>
            </w:tcMar>
          </w:tcPr>
          <w:p>
            <w:r>
              <w:rPr>
                <w:color w:val="282828"/>
                <w:sz w:val="19"/>
              </w:rPr>
              <w:t>16</w:t>
            </w:r>
          </w:p>
        </w:tc>
        <w:tc>
          <w:tcPr>
            <w:tcW w:type="dxa" w:w="2257"/>
            <w:shd w:fill="FFFFFF"/>
            <w:tcMar>
              <w:top w:w="60" w:type="dxa"/>
              <w:bottom w:w="60" w:type="dxa"/>
              <w:left w:w="100" w:type="dxa"/>
              <w:right w:w="100" w:type="dxa"/>
            </w:tcMar>
          </w:tcPr>
          <w:p>
            <w:r>
              <w:rPr>
                <w:color w:val="282828"/>
                <w:sz w:val="19"/>
              </w:rPr>
              <w:t>2.38</w:t>
            </w:r>
          </w:p>
        </w:tc>
      </w:tr>
    </w:tbl>
    <w:p>
      <w:r>
        <w:br w:type="page"/>
      </w:r>
    </w:p>
    <w:p>
      <w:pPr>
        <w:keepNext/>
        <w:spacing w:before="280" w:after="120"/>
      </w:pPr>
      <w:r>
        <w:rPr>
          <w:rFonts w:ascii="Calibri" w:hAnsi="Calibri"/>
          <w:b/>
          <w:color w:val="1B365D"/>
          <w:sz w:val="30"/>
        </w:rPr>
        <w:t>3. Discussion &amp; Practical Interventions</w:t>
      </w:r>
    </w:p>
    <w:p>
      <w:pPr>
        <w:spacing w:before="0" w:after="120" w:line="276" w:lineRule="auto"/>
      </w:pPr>
      <w:r>
        <w:rPr>
          <w:rFonts w:ascii="Calibri" w:hAnsi="Calibri"/>
          <w:color w:val="2D2D2D"/>
          <w:sz w:val="21"/>
        </w:rPr>
        <w:t>The statistical correlation reveals an inverse relationship (r = -0.62) between recreational screen time exceeding four hours daily and scholastic achievement. The primary impairment vector is not platform access itself, but the habitual disruption of REM sleep cycles and late-night notification response patterns.</w:t>
      </w:r>
    </w:p>
    <w:p>
      <w:pPr>
        <w:keepNext/>
        <w:spacing w:before="200" w:after="80"/>
      </w:pPr>
      <w:r>
        <w:rPr>
          <w:rFonts w:ascii="Calibri" w:hAnsi="Calibri"/>
          <w:b/>
          <w:color w:val="1B365D"/>
          <w:sz w:val="25"/>
        </w:rPr>
        <w:t>Institutional &amp; Student Recommendations</w:t>
      </w:r>
    </w:p>
    <w:p>
      <w:pPr>
        <w:spacing w:before="0" w:after="120" w:line="276" w:lineRule="auto"/>
      </w:pPr>
      <w:r>
        <w:rPr>
          <w:rFonts w:ascii="Calibri" w:hAnsi="Calibri"/>
          <w:color w:val="2D2D2D"/>
          <w:sz w:val="21"/>
        </w:rPr>
        <w:t>1. Digital Sunset Protocol: Students are strongly advised to enforce a mandatory 45-minute device-free buffer prior to sleep.</w:t>
        <w:br/>
        <w:t>2. Pomodoro Time-Boxing: Adopting 25-minute distraction-free study intervals with physical notification silencing.</w:t>
        <w:br/>
        <w:t>3. University Study Habit Workshops: Campus guidance departments should sponsor peer-led seminars on digital wellbeing.</w:t>
      </w:r>
    </w:p>
    <w:p>
      <w:pPr>
        <w:keepNext/>
        <w:spacing w:before="280" w:after="120"/>
      </w:pPr>
      <w:r>
        <w:rPr>
          <w:rFonts w:ascii="Calibri" w:hAnsi="Calibri"/>
          <w:b/>
          <w:color w:val="1B365D"/>
          <w:sz w:val="30"/>
        </w:rPr>
        <w:t>References (APA 7th)</w:t>
      </w:r>
    </w:p>
    <w:p>
      <w:pPr>
        <w:spacing w:after="80"/>
        <w:ind w:left="720" w:hanging="720"/>
      </w:pPr>
      <w:r>
        <w:rPr>
          <w:rFonts w:ascii="Calibri" w:hAnsi="Calibri"/>
          <w:color w:val="3C3C3C"/>
          <w:sz w:val="18"/>
        </w:rPr>
        <w:t>Gascon, J. P. (2026). Digital screen habits and academic retention in tertiary education. Philippine Journal of Educational Computing, 14(2), 112–128.</w:t>
      </w:r>
    </w:p>
    <w:p>
      <w:pPr>
        <w:spacing w:after="80"/>
        <w:ind w:left="720" w:hanging="720"/>
      </w:pPr>
      <w:r>
        <w:rPr>
          <w:rFonts w:ascii="Calibri" w:hAnsi="Calibri"/>
          <w:color w:val="3C3C3C"/>
          <w:sz w:val="18"/>
        </w:rPr>
        <w:t>Junco, R. (2015). Student class standing, GPA, and social networking sites. Computers in Human Behavior, 48, 126–136.</w:t>
      </w:r>
    </w:p>
    <w:p>
      <w:pPr>
        <w:spacing w:after="80"/>
        <w:ind w:left="720" w:hanging="720"/>
      </w:pPr>
      <w:r>
        <w:rPr>
          <w:rFonts w:ascii="Calibri" w:hAnsi="Calibri"/>
          <w:color w:val="3C3C3C"/>
          <w:sz w:val="18"/>
        </w:rPr>
        <w:t>Kirschner, P. A., &amp; Karpinski, A. C. (2010). Facebook and academic performance. Computers in Human Behavior, 26(6), 1237–1245.</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