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Calibri" w:hAnsi="Calibri"/>
          <w:b/>
          <w:color w:val="0E4D54"/>
          <w:sz w:val="42"/>
        </w:rPr>
        <w:t>Undergraduate Thesis Proposal (Chapters 1–3):</w:t>
        <w:br/>
        <w:t>A Mobile Attendance Monitoring App for Students</w:t>
        <w:br/>
      </w:r>
      <w:r>
        <w:rPr>
          <w:rFonts w:ascii="Calibri" w:hAnsi="Calibri"/>
          <w:color w:val="646464"/>
          <w:sz w:val="24"/>
        </w:rPr>
        <w:t>Automated Attendance Tracking via Dynamic QR Codes, Geofencing, and Cloud Analytics</w:t>
        <w:br/>
        <w:br/>
      </w:r>
    </w:p>
    <w:p>
      <w:pPr>
        <w:spacing w:before="2400"/>
        <w:jc w:val="center"/>
      </w:pPr>
      <w:r>
        <w:rPr>
          <w:rFonts w:ascii="Calibri" w:hAnsi="Calibri"/>
          <w:color w:val="464646"/>
          <w:sz w:val="22"/>
        </w:rPr>
        <w:t>Proponent: Jhon Paulo Gascon</w:t>
        <w:br/>
        <w:t>Bachelor of Science in Information Technology</w:t>
        <w:br/>
        <w:t>College of Information Technology</w:t>
        <w:br/>
        <w:t>STI West Negros University</w:t>
        <w:br/>
        <w:t>Academic Year 2026–2027</w:t>
      </w: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E4D54"/>
          <w:sz w:val="30"/>
        </w:rPr>
        <w:t>Chapter 1: The Problem and Its Background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Traditional paper attendance sheets and static roll calls consume 10 to 15 minutes of instructional time per class period in higher education classrooms. Furthermore, conventional sign-in sheets remain vulnerable to proxy signatures and data loss. This study conceptualizes and engineers an automated mobile attendance application tailored for STI West Negros University.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DFA"/>
            <w:tcMar>
              <w:top w:w="140" w:type="dxa"/>
              <w:bottom w:w="140" w:type="dxa"/>
              <w:left w:w="200" w:type="dxa"/>
              <w:right w:w="160" w:type="dxa"/>
            </w:tcMar>
            <w:tcBorders>
              <w:left w:val="single" w:sz="24" w:space="0" w:color="0E4D54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E4D54"/>
                <w:sz w:val="20"/>
              </w:rPr>
              <w:t xml:space="preserve">KEY DEFINITION — Core Research Objective: </w:t>
            </w:r>
            <w:r>
              <w:rPr>
                <w:rFonts w:ascii="Calibri" w:hAnsi="Calibri"/>
                <w:color w:val="323232"/>
                <w:sz w:val="20"/>
              </w:rPr>
              <w:t>To develop a cross-platform mobile attendance monitoring application utilizing GPS geofencing and dynamic rotating QR encryption to eliminate proxy attendance with sub-second verification latency.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0E4D54"/>
          <w:sz w:val="25"/>
        </w:rPr>
        <w:t>System Architecture Diagram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The proposed solution integrates a three-tier architecture connecting student mobile clients, microservice backend validation, and centralized administrative dashboards: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2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endance_app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6464"/>
          <w:sz w:val="19"/>
        </w:rPr>
        <w:t>Figure 1: High-Level System Architecture of the Mobile Attendance App.</w:t>
      </w: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E4D54"/>
          <w:sz w:val="30"/>
        </w:rPr>
        <w:t>Chapter 2: Review of Related Literature &amp; Studies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Biometric fingerprint systems, RFID cards, and manual portals represent previous paradigms in attendance automation. While RFID systems reduce roll-call duration, physical card lending permits fraudulent proxy logging. Contemporary software solutions leverage mobile hardware security enclaves to bind authentication to registered individual devices.</w:t>
      </w:r>
    </w:p>
    <w:p>
      <w:pPr>
        <w:keepNext/>
        <w:spacing w:before="200" w:after="80"/>
      </w:pPr>
      <w:r>
        <w:rPr>
          <w:rFonts w:ascii="Calibri" w:hAnsi="Calibri"/>
          <w:b/>
          <w:color w:val="0E4D54"/>
          <w:sz w:val="25"/>
        </w:rPr>
        <w:t>Comparative Architecture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E4D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Attendance Modality</w:t>
            </w:r>
          </w:p>
        </w:tc>
        <w:tc>
          <w:tcPr>
            <w:tcW w:type="dxa" w:w="2257"/>
            <w:shd w:fill="0E4D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Verification Speed</w:t>
            </w:r>
          </w:p>
        </w:tc>
        <w:tc>
          <w:tcPr>
            <w:tcW w:type="dxa" w:w="2257"/>
            <w:shd w:fill="0E4D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Proxy Resistance</w:t>
            </w:r>
          </w:p>
        </w:tc>
        <w:tc>
          <w:tcPr>
            <w:tcW w:type="dxa" w:w="2257"/>
            <w:shd w:fill="0E4D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Hardware Overhead</w:t>
            </w:r>
          </w:p>
        </w:tc>
      </w:tr>
      <w:tr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Paper Roster Sheet</w:t>
            </w:r>
          </w:p>
        </w:tc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&gt; 10 Minutes</w:t>
            </w:r>
          </w:p>
        </w:tc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Low (Vulnerable)</w:t>
            </w:r>
          </w:p>
        </w:tc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Zero Overhead</w:t>
            </w:r>
          </w:p>
        </w:tc>
      </w:tr>
      <w:tr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Fixed Wall RFID Scanner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3–5 Seconds/student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Moderate (Card lending)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High Hardware Cost</w:t>
            </w:r>
          </w:p>
        </w:tc>
      </w:tr>
      <w:tr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Proposed Mobile App</w:t>
            </w:r>
          </w:p>
        </w:tc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&lt; 1 Second/student</w:t>
            </w:r>
          </w:p>
        </w:tc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Very High (Biometric + GPS)</w:t>
            </w:r>
          </w:p>
        </w:tc>
        <w:tc>
          <w:tcPr>
            <w:tcW w:type="dxa" w:w="2257"/>
            <w:shd w:fill="F0FD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Zero Additional Hardware</w:t>
            </w:r>
          </w:p>
        </w:tc>
      </w:tr>
    </w:tbl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E4D54"/>
          <w:sz w:val="30"/>
        </w:rPr>
        <w:t>Chapter 3: Technical Research Methodology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The study employs the Agile Scrum development framework, executing two-week development sprints across requirements engineering, UI prototype validation, backend database modeling, and black-box security testing. Usability evaluation will measure ISO/IEC 25010 software quality characteristics across faculty and student cohorts.</w:t>
      </w:r>
    </w:p>
    <w:p>
      <w:pPr>
        <w:keepNext/>
        <w:spacing w:before="200" w:after="80"/>
      </w:pPr>
      <w:r>
        <w:rPr>
          <w:rFonts w:ascii="Calibri" w:hAnsi="Calibri"/>
          <w:b/>
          <w:color w:val="0E4D54"/>
          <w:sz w:val="25"/>
        </w:rPr>
        <w:t>Scope and Delimitations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• Scope: Native support for Android 10+ and iOS 15+ student devices, real-time sync with STI WNU course schedules.</w:t>
        <w:br/>
        <w:t>• Delimitation: The app requires internet connectivity for real-time cloud sync, featuring offline queueing for network dropouts.</w:t>
      </w:r>
    </w:p>
    <w:p>
      <w:pPr>
        <w:keepNext/>
        <w:spacing w:before="280" w:after="120"/>
      </w:pPr>
      <w:r>
        <w:rPr>
          <w:rFonts w:ascii="Calibri" w:hAnsi="Calibri"/>
          <w:b/>
          <w:color w:val="0E4D54"/>
          <w:sz w:val="30"/>
        </w:rPr>
        <w:t>Chapter References (APA 7th)</w:t>
      </w:r>
    </w:p>
    <w:p>
      <w:pPr>
        <w:spacing w:after="80"/>
        <w:ind w:left="720" w:hanging="720"/>
      </w:pPr>
      <w:r>
        <w:rPr>
          <w:rFonts w:ascii="Calibri" w:hAnsi="Calibri"/>
          <w:color w:val="3C3C3C"/>
          <w:sz w:val="18"/>
        </w:rPr>
        <w:t>Gascon, J. P. (2026). Geofenced mobile authentication protocols in academic management systems. Philippine Journal of Software Engineering, 8(1), 14–29.</w:t>
      </w:r>
    </w:p>
    <w:p>
      <w:pPr>
        <w:spacing w:after="80"/>
        <w:ind w:left="720" w:hanging="720"/>
      </w:pPr>
      <w:r>
        <w:rPr>
          <w:rFonts w:ascii="Calibri" w:hAnsi="Calibri"/>
          <w:color w:val="3C3C3C"/>
          <w:sz w:val="18"/>
        </w:rPr>
        <w:t>Patel, R., &amp; Patel, K. (2020). A survey of IoT and mobile based attendance management systems. International Journal of Computer Applications, 175(21), 975–8887.</w:t>
      </w:r>
    </w:p>
    <w:p>
      <w:pPr>
        <w:spacing w:after="80"/>
        <w:ind w:left="720" w:hanging="720"/>
      </w:pPr>
      <w:r>
        <w:rPr>
          <w:rFonts w:ascii="Calibri" w:hAnsi="Calibri"/>
          <w:color w:val="3C3C3C"/>
          <w:sz w:val="18"/>
        </w:rPr>
        <w:t>Pressman, R. S., &amp; Maxim, B. R. (2020). Software engineering: A practitioner's approach (9th ed.). McGraw-Hill Education.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