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4A5568"/>
          <w:sz w:val="24"/>
        </w:rPr>
        <w:t>STI WEST NEGROS UNIVERSITY</w:t>
      </w:r>
    </w:p>
    <w:p>
      <w:pPr>
        <w:spacing w:after="1440"/>
        <w:jc w:val="center"/>
      </w:pPr>
      <w:r>
        <w:rPr>
          <w:rFonts w:ascii="Calibri" w:hAnsi="Calibri"/>
          <w:color w:val="718096"/>
          <w:sz w:val="20"/>
        </w:rPr>
        <w:t>College of Information and Communications Technology</w:t>
      </w:r>
    </w:p>
    <w:p>
      <w:pPr>
        <w:spacing w:after="280"/>
        <w:jc w:val="center"/>
      </w:pPr>
      <w:r>
        <w:rPr>
          <w:rFonts w:ascii="Calibri" w:hAnsi="Calibri"/>
          <w:b/>
          <w:color w:val="78350F"/>
          <w:sz w:val="48"/>
        </w:rPr>
        <w:t>Business Plan: 'Brewed Horizon' Campus Coffee Cart</w:t>
      </w:r>
    </w:p>
    <w:p>
      <w:pPr>
        <w:spacing w:after="320"/>
        <w:jc w:val="center"/>
      </w:pPr>
      <w:r>
        <w:rPr>
          <w:color w:val="78350F"/>
          <w:sz w:val="20"/>
        </w:rPr>
        <w:t>————————————————————————————</w:t>
      </w:r>
    </w:p>
    <w:p>
      <w:pPr>
        <w:spacing w:after="2800"/>
        <w:jc w:val="center"/>
      </w:pPr>
      <w:r>
        <w:rPr>
          <w:rFonts w:ascii="Calibri" w:hAnsi="Calibri"/>
          <w:i/>
          <w:color w:val="4A5568"/>
          <w:sz w:val="26"/>
        </w:rPr>
        <w:t>A Feasibility Study and Strategic Commercial Model for STI West Negros University</w:t>
      </w:r>
    </w:p>
    <w:p>
      <w:pPr>
        <w:spacing w:line="312" w:lineRule="auto" w:after="400"/>
        <w:jc w:val="center"/>
      </w:pPr>
      <w:r>
        <w:rPr>
          <w:rFonts w:ascii="Calibri" w:hAnsi="Calibri"/>
          <w:color w:val="718096"/>
          <w:sz w:val="20"/>
        </w:rPr>
        <w:t>Comprehensive Business Plan</w:t>
        <w:br/>
        <w:t>Presented by:</w:t>
        <w:br/>
      </w:r>
      <w:r>
        <w:rPr>
          <w:rFonts w:ascii="Calibri" w:hAnsi="Calibri"/>
          <w:b/>
          <w:color w:val="78350F"/>
          <w:sz w:val="26"/>
        </w:rPr>
        <w:t>JHON PAULO V. GASCON</w:t>
        <w:br/>
      </w:r>
      <w:r>
        <w:rPr>
          <w:rFonts w:ascii="Calibri" w:hAnsi="Calibri"/>
          <w:color w:val="4A5568"/>
          <w:sz w:val="20"/>
        </w:rPr>
        <w:t>Bachelor of Science in Information Technology (BSIT)</w:t>
        <w:br/>
        <w:t>Bacolod City, Philippines</w:t>
        <w:br/>
        <w:t>October 2026</w:t>
      </w:r>
    </w:p>
    <w:p>
      <w:r>
        <w:br w:type="page"/>
      </w:r>
    </w:p>
    <w:p>
      <w:pPr>
        <w:sectPr>
          <w:headerReference w:type="default" r:id="rId9"/>
          <w:footerReference w:type="default" r:id="rId10"/>
          <w:pgSz w:w="12240" w:h="15840"/>
          <w:pgMar w:top="1440" w:right="1440" w:bottom="1440" w:left="1440" w:header="720" w:footer="720" w:gutter="0"/>
          <w:cols w:space="720"/>
          <w:titlePg/>
          <w:docGrid w:linePitch="360"/>
        </w:sectPr>
      </w:pPr>
    </w:p>
    <w:p>
      <w:pPr>
        <w:keepNext/>
        <w:spacing w:before="360" w:after="120"/>
      </w:pPr>
      <w:r>
        <w:rPr>
          <w:rFonts w:ascii="Calibri" w:hAnsi="Calibri"/>
          <w:b/>
          <w:color w:val="78350F"/>
          <w:sz w:val="32"/>
        </w:rPr>
        <w:t>Executive Summary</w:t>
      </w:r>
    </w:p>
    <w:p>
      <w:pPr>
        <w:spacing w:before="0" w:after="140" w:line="276" w:lineRule="auto"/>
      </w:pPr>
      <w:r>
        <w:rPr>
          <w:rFonts w:ascii="Calibri" w:hAnsi="Calibri"/>
          <w:color w:val="2D3748"/>
          <w:sz w:val="22"/>
        </w:rPr>
        <w:t>Brewed Horizon is an artisanal, fast-service mobile coffee enterprise designed specifically for the student and faculty demographic at STI West Negros University. By offering high-quality Negros-sourced robusta and arabica blends at affordable student price points (P45 to P85), the venture bridges the gap between commercial instant sachets and expensive off-campus coffee shops. With an initial capital expenditure of P120,000, Brewed Horizon projects operational profitability within its third operating month.</w:t>
      </w:r>
    </w:p>
    <w:p>
      <w:pPr>
        <w:keepNext/>
        <w:spacing w:before="360" w:after="120"/>
      </w:pPr>
      <w:r>
        <w:rPr>
          <w:rFonts w:ascii="Calibri" w:hAnsi="Calibri"/>
          <w:b/>
          <w:color w:val="78350F"/>
          <w:sz w:val="32"/>
        </w:rPr>
        <w:t>1. Market Opportunity and Competitive Advantage</w:t>
      </w:r>
    </w:p>
    <w:p>
      <w:pPr>
        <w:spacing w:before="0" w:after="140" w:line="276" w:lineRule="auto"/>
      </w:pPr>
      <w:r>
        <w:rPr>
          <w:rFonts w:ascii="Calibri" w:hAnsi="Calibri"/>
          <w:color w:val="2D3748"/>
          <w:sz w:val="22"/>
        </w:rPr>
        <w:t>The campus population exceeds 4,500 enrolled students and staff with high daily demand for caffeinated beverages during early morning class blocks and late afternoon programming laboratories. Current options are restricted to university cafeteria instant dispensers and external cafes located three blocks away across congested thoroughfares.</w:t>
      </w:r>
    </w:p>
    <w:p>
      <w:pPr>
        <w:keepNext/>
        <w:spacing w:before="240" w:after="80"/>
      </w:pPr>
      <w:r>
        <w:rPr>
          <w:rFonts w:ascii="Calibri" w:hAnsi="Calibri"/>
          <w:b/>
          <w:color w:val="78350F"/>
          <w:sz w:val="26"/>
        </w:rPr>
        <w:t>1.1 Competitor Benchmarking</w:t>
      </w:r>
    </w:p>
    <w:p>
      <w:pPr>
        <w:spacing w:before="160" w:after="80"/>
      </w:pPr>
      <w:r>
        <w:rPr>
          <w:b/>
          <w:sz w:val="20"/>
        </w:rPr>
        <w:t>Table 1. Campus Beverage Competitive Landscape Matrix</w:t>
      </w:r>
    </w:p>
    <w:tbl>
      <w:tblPr>
        <w:tblW w:type="auto" w:w="0"/>
        <w:jc w:val="center"/>
        <w:tblLook w:firstColumn="1" w:firstRow="1" w:lastColumn="0" w:lastRow="0" w:noHBand="0" w:noVBand="1" w:val="04A0"/>
      </w:tblPr>
      <w:tblGrid>
        <w:gridCol w:w="2340"/>
        <w:gridCol w:w="2340"/>
        <w:gridCol w:w="2340"/>
        <w:gridCol w:w="2340"/>
      </w:tblGrid>
      <w:tr>
        <w:tc>
          <w:tcPr>
            <w:tcW w:type="dxa" w:w="2592"/>
            <w:shd w:fill="78350F"/>
            <w:tcMar>
              <w:top w:w="140" w:type="dxa"/>
              <w:bottom w:w="140" w:type="dxa"/>
              <w:left w:w="180" w:type="dxa"/>
              <w:right w:w="180" w:type="dxa"/>
            </w:tcMar>
          </w:tcPr>
          <w:p>
            <w:pPr>
              <w:jc w:val="left"/>
            </w:pPr>
            <w:r>
              <w:rPr>
                <w:rFonts w:ascii="Calibri" w:hAnsi="Calibri"/>
                <w:b/>
                <w:color w:val="FFFFFF"/>
                <w:sz w:val="20"/>
              </w:rPr>
              <w:t>Provider Option</w:t>
            </w:r>
          </w:p>
        </w:tc>
        <w:tc>
          <w:tcPr>
            <w:tcW w:type="dxa" w:w="2016"/>
            <w:shd w:fill="78350F"/>
            <w:tcMar>
              <w:top w:w="140" w:type="dxa"/>
              <w:bottom w:w="140" w:type="dxa"/>
              <w:left w:w="180" w:type="dxa"/>
              <w:right w:w="180" w:type="dxa"/>
            </w:tcMar>
          </w:tcPr>
          <w:p>
            <w:pPr>
              <w:jc w:val="left"/>
            </w:pPr>
            <w:r>
              <w:rPr>
                <w:rFonts w:ascii="Calibri" w:hAnsi="Calibri"/>
                <w:b/>
                <w:color w:val="FFFFFF"/>
                <w:sz w:val="20"/>
              </w:rPr>
              <w:t>Average Price</w:t>
            </w:r>
          </w:p>
        </w:tc>
        <w:tc>
          <w:tcPr>
            <w:tcW w:type="dxa" w:w="2016"/>
            <w:shd w:fill="78350F"/>
            <w:tcMar>
              <w:top w:w="140" w:type="dxa"/>
              <w:bottom w:w="140" w:type="dxa"/>
              <w:left w:w="180" w:type="dxa"/>
              <w:right w:w="180" w:type="dxa"/>
            </w:tcMar>
          </w:tcPr>
          <w:p>
            <w:pPr>
              <w:jc w:val="left"/>
            </w:pPr>
            <w:r>
              <w:rPr>
                <w:rFonts w:ascii="Calibri" w:hAnsi="Calibri"/>
                <w:b/>
                <w:color w:val="FFFFFF"/>
                <w:sz w:val="20"/>
              </w:rPr>
              <w:t>Wait Time</w:t>
            </w:r>
          </w:p>
        </w:tc>
        <w:tc>
          <w:tcPr>
            <w:tcW w:type="dxa" w:w="2736"/>
            <w:shd w:fill="78350F"/>
            <w:tcMar>
              <w:top w:w="140" w:type="dxa"/>
              <w:bottom w:w="140" w:type="dxa"/>
              <w:left w:w="180" w:type="dxa"/>
              <w:right w:w="180" w:type="dxa"/>
            </w:tcMar>
          </w:tcPr>
          <w:p>
            <w:pPr>
              <w:jc w:val="left"/>
            </w:pPr>
            <w:r>
              <w:rPr>
                <w:rFonts w:ascii="Calibri" w:hAnsi="Calibri"/>
                <w:b/>
                <w:color w:val="FFFFFF"/>
                <w:sz w:val="20"/>
              </w:rPr>
              <w:t>Value Proposition</w:t>
            </w:r>
          </w:p>
        </w:tc>
      </w:tr>
      <w:tr>
        <w:tc>
          <w:tcPr>
            <w:tcW w:type="dxa" w:w="2592"/>
            <w:shd w:fill="FFFFFF"/>
            <w:tcMar>
              <w:top w:w="120" w:type="dxa"/>
              <w:bottom w:w="120" w:type="dxa"/>
              <w:left w:w="180" w:type="dxa"/>
              <w:right w:w="180" w:type="dxa"/>
            </w:tcMar>
          </w:tcPr>
          <w:p>
            <w:r>
              <w:rPr>
                <w:rFonts w:ascii="Calibri" w:hAnsi="Calibri"/>
                <w:color w:val="2D3748"/>
                <w:sz w:val="19"/>
              </w:rPr>
              <w:t>Campus Canteen Instant</w:t>
            </w:r>
          </w:p>
        </w:tc>
        <w:tc>
          <w:tcPr>
            <w:tcW w:type="dxa" w:w="2016"/>
            <w:shd w:fill="FFFFFF"/>
            <w:tcMar>
              <w:top w:w="120" w:type="dxa"/>
              <w:bottom w:w="120" w:type="dxa"/>
              <w:left w:w="180" w:type="dxa"/>
              <w:right w:w="180" w:type="dxa"/>
            </w:tcMar>
          </w:tcPr>
          <w:p>
            <w:r>
              <w:rPr>
                <w:rFonts w:ascii="Calibri" w:hAnsi="Calibri"/>
                <w:color w:val="2D3748"/>
                <w:sz w:val="19"/>
              </w:rPr>
              <w:t>P20.00 – P25.00</w:t>
            </w:r>
          </w:p>
        </w:tc>
        <w:tc>
          <w:tcPr>
            <w:tcW w:type="dxa" w:w="2016"/>
            <w:shd w:fill="FFFFFF"/>
            <w:tcMar>
              <w:top w:w="120" w:type="dxa"/>
              <w:bottom w:w="120" w:type="dxa"/>
              <w:left w:w="180" w:type="dxa"/>
              <w:right w:w="180" w:type="dxa"/>
            </w:tcMar>
          </w:tcPr>
          <w:p>
            <w:r>
              <w:rPr>
                <w:rFonts w:ascii="Calibri" w:hAnsi="Calibri"/>
                <w:color w:val="2D3748"/>
                <w:sz w:val="19"/>
              </w:rPr>
              <w:t>Instant</w:t>
            </w:r>
          </w:p>
        </w:tc>
        <w:tc>
          <w:tcPr>
            <w:tcW w:type="dxa" w:w="2736"/>
            <w:shd w:fill="FFFFFF"/>
            <w:tcMar>
              <w:top w:w="120" w:type="dxa"/>
              <w:bottom w:w="120" w:type="dxa"/>
              <w:left w:w="180" w:type="dxa"/>
              <w:right w:w="180" w:type="dxa"/>
            </w:tcMar>
          </w:tcPr>
          <w:p>
            <w:r>
              <w:rPr>
                <w:rFonts w:ascii="Calibri" w:hAnsi="Calibri"/>
                <w:color w:val="2D3748"/>
                <w:sz w:val="19"/>
              </w:rPr>
              <w:t>Low cost, powdered sachets, limited flavor</w:t>
            </w:r>
          </w:p>
        </w:tc>
      </w:tr>
      <w:tr>
        <w:tc>
          <w:tcPr>
            <w:tcW w:type="dxa" w:w="2592"/>
            <w:shd w:fill="FEF3C7"/>
            <w:tcMar>
              <w:top w:w="120" w:type="dxa"/>
              <w:bottom w:w="120" w:type="dxa"/>
              <w:left w:w="180" w:type="dxa"/>
              <w:right w:w="180" w:type="dxa"/>
            </w:tcMar>
          </w:tcPr>
          <w:p>
            <w:r>
              <w:rPr>
                <w:rFonts w:ascii="Calibri" w:hAnsi="Calibri"/>
                <w:color w:val="2D3748"/>
                <w:sz w:val="19"/>
              </w:rPr>
              <w:t>External Commercial Cafes</w:t>
            </w:r>
          </w:p>
        </w:tc>
        <w:tc>
          <w:tcPr>
            <w:tcW w:type="dxa" w:w="2016"/>
            <w:shd w:fill="FEF3C7"/>
            <w:tcMar>
              <w:top w:w="120" w:type="dxa"/>
              <w:bottom w:w="120" w:type="dxa"/>
              <w:left w:w="180" w:type="dxa"/>
              <w:right w:w="180" w:type="dxa"/>
            </w:tcMar>
          </w:tcPr>
          <w:p>
            <w:r>
              <w:rPr>
                <w:rFonts w:ascii="Calibri" w:hAnsi="Calibri"/>
                <w:color w:val="2D3748"/>
                <w:sz w:val="19"/>
              </w:rPr>
              <w:t>P130.00 – P180.00</w:t>
            </w:r>
          </w:p>
        </w:tc>
        <w:tc>
          <w:tcPr>
            <w:tcW w:type="dxa" w:w="2016"/>
            <w:shd w:fill="FEF3C7"/>
            <w:tcMar>
              <w:top w:w="120" w:type="dxa"/>
              <w:bottom w:w="120" w:type="dxa"/>
              <w:left w:w="180" w:type="dxa"/>
              <w:right w:w="180" w:type="dxa"/>
            </w:tcMar>
          </w:tcPr>
          <w:p>
            <w:r>
              <w:rPr>
                <w:rFonts w:ascii="Calibri" w:hAnsi="Calibri"/>
                <w:color w:val="2D3748"/>
                <w:sz w:val="19"/>
              </w:rPr>
              <w:t>12–15 Minutes</w:t>
            </w:r>
          </w:p>
        </w:tc>
        <w:tc>
          <w:tcPr>
            <w:tcW w:type="dxa" w:w="2736"/>
            <w:shd w:fill="FEF3C7"/>
            <w:tcMar>
              <w:top w:w="120" w:type="dxa"/>
              <w:bottom w:w="120" w:type="dxa"/>
              <w:left w:w="180" w:type="dxa"/>
              <w:right w:w="180" w:type="dxa"/>
            </w:tcMar>
          </w:tcPr>
          <w:p>
            <w:r>
              <w:rPr>
                <w:rFonts w:ascii="Calibri" w:hAnsi="Calibri"/>
                <w:color w:val="2D3748"/>
                <w:sz w:val="19"/>
              </w:rPr>
              <w:t>Premium seating, excessive price for daily budget</w:t>
            </w:r>
          </w:p>
        </w:tc>
      </w:tr>
      <w:tr>
        <w:tc>
          <w:tcPr>
            <w:tcW w:type="dxa" w:w="2592"/>
            <w:shd w:fill="FFFFFF"/>
            <w:tcMar>
              <w:top w:w="120" w:type="dxa"/>
              <w:bottom w:w="120" w:type="dxa"/>
              <w:left w:w="180" w:type="dxa"/>
              <w:right w:w="180" w:type="dxa"/>
            </w:tcMar>
          </w:tcPr>
          <w:p>
            <w:r>
              <w:rPr>
                <w:rFonts w:ascii="Calibri" w:hAnsi="Calibri"/>
                <w:color w:val="2D3748"/>
                <w:sz w:val="19"/>
              </w:rPr>
              <w:t>Brewed Horizon Cart</w:t>
            </w:r>
          </w:p>
        </w:tc>
        <w:tc>
          <w:tcPr>
            <w:tcW w:type="dxa" w:w="2016"/>
            <w:shd w:fill="FFFFFF"/>
            <w:tcMar>
              <w:top w:w="120" w:type="dxa"/>
              <w:bottom w:w="120" w:type="dxa"/>
              <w:left w:w="180" w:type="dxa"/>
              <w:right w:w="180" w:type="dxa"/>
            </w:tcMar>
          </w:tcPr>
          <w:p>
            <w:r>
              <w:rPr>
                <w:rFonts w:ascii="Calibri" w:hAnsi="Calibri"/>
                <w:color w:val="2D3748"/>
                <w:sz w:val="19"/>
              </w:rPr>
              <w:t>P45.00 – P75.00</w:t>
            </w:r>
          </w:p>
        </w:tc>
        <w:tc>
          <w:tcPr>
            <w:tcW w:type="dxa" w:w="2016"/>
            <w:shd w:fill="FFFFFF"/>
            <w:tcMar>
              <w:top w:w="120" w:type="dxa"/>
              <w:bottom w:w="120" w:type="dxa"/>
              <w:left w:w="180" w:type="dxa"/>
              <w:right w:w="180" w:type="dxa"/>
            </w:tcMar>
          </w:tcPr>
          <w:p>
            <w:r>
              <w:rPr>
                <w:rFonts w:ascii="Calibri" w:hAnsi="Calibri"/>
                <w:color w:val="2D3748"/>
                <w:sz w:val="19"/>
              </w:rPr>
              <w:t>2–3 Minutes</w:t>
            </w:r>
          </w:p>
        </w:tc>
        <w:tc>
          <w:tcPr>
            <w:tcW w:type="dxa" w:w="2736"/>
            <w:shd w:fill="FFFFFF"/>
            <w:tcMar>
              <w:top w:w="120" w:type="dxa"/>
              <w:bottom w:w="120" w:type="dxa"/>
              <w:left w:w="180" w:type="dxa"/>
              <w:right w:w="180" w:type="dxa"/>
            </w:tcMar>
          </w:tcPr>
          <w:p>
            <w:r>
              <w:rPr>
                <w:rFonts w:ascii="Calibri" w:hAnsi="Calibri"/>
                <w:color w:val="2D3748"/>
                <w:sz w:val="19"/>
              </w:rPr>
              <w:t>Freshly brewed local beans, student discounts, speed</w:t>
            </w:r>
          </w:p>
        </w:tc>
      </w:tr>
    </w:tbl>
    <w:p>
      <w:pPr>
        <w:keepNext/>
        <w:spacing w:before="360" w:after="120"/>
      </w:pPr>
      <w:r>
        <w:rPr>
          <w:rFonts w:ascii="Calibri" w:hAnsi="Calibri"/>
          <w:b/>
          <w:color w:val="78350F"/>
          <w:sz w:val="32"/>
        </w:rPr>
        <w:t>2. Product Line and Operational Workflow</w:t>
      </w:r>
    </w:p>
    <w:p>
      <w:pPr>
        <w:spacing w:before="0" w:after="140" w:line="276" w:lineRule="auto"/>
      </w:pPr>
      <w:r>
        <w:rPr>
          <w:rFonts w:ascii="Calibri" w:hAnsi="Calibri"/>
          <w:color w:val="2D3748"/>
          <w:sz w:val="22"/>
        </w:rPr>
        <w:t>The cart features four signature core offerings: Kape Barako Americano, Sweetened condensed milk Spanish Latte, Iced Matcha Fusion, and Cold Brew Concentrate. Equipment includes dual commercial semi-automatic espresso extractors, solar-assisted battery invertors for grinder power, and insulated beverage dispensers.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180" w:type="dxa"/>
              <w:right w:w="180" w:type="dxa"/>
            </w:tcMar>
          </w:tcPr>
          <w:p>
            <w:pPr>
              <w:spacing w:after="40"/>
            </w:pPr>
            <w:r>
              <w:rPr>
                <w:rFonts w:ascii="Calibri" w:hAnsi="Calibri"/>
                <w:b/>
                <w:color w:val="1E3A8A"/>
                <w:sz w:val="20"/>
              </w:rPr>
              <w:t xml:space="preserve">STRATEGIC SUPPLY CHAIN ADVANTAGE: </w:t>
            </w:r>
            <w:r>
              <w:rPr>
                <w:rFonts w:ascii="Calibri" w:hAnsi="Calibri"/>
                <w:color w:val="1E293B"/>
                <w:sz w:val="20"/>
              </w:rPr>
              <w:t>By partnering with organic coffee cooperatives in Canlaon and northern Negros, supply costs are reduced by 22% while guaranteeing farm-fresh single-origin roast profiles.</w:t>
            </w:r>
          </w:p>
        </w:tc>
      </w:tr>
    </w:tbl>
    <w:p>
      <w:pPr>
        <w:spacing w:after="80"/>
      </w:pPr>
    </w:p>
    <w:p>
      <w:pPr>
        <w:keepNext/>
        <w:spacing w:before="360" w:after="120"/>
      </w:pPr>
      <w:r>
        <w:rPr>
          <w:rFonts w:ascii="Calibri" w:hAnsi="Calibri"/>
          <w:b/>
          <w:color w:val="78350F"/>
          <w:sz w:val="32"/>
        </w:rPr>
        <w:t>3. Staffing, Logistics, and Sanitation Standards</w:t>
      </w:r>
    </w:p>
    <w:p>
      <w:pPr>
        <w:spacing w:before="0" w:after="140" w:line="276" w:lineRule="auto"/>
      </w:pPr>
      <w:r>
        <w:rPr>
          <w:rFonts w:ascii="Calibri" w:hAnsi="Calibri"/>
          <w:color w:val="2D3748"/>
          <w:sz w:val="22"/>
        </w:rPr>
        <w:t>Staffing will utilize student interns under working-scholar arrangements, offering fair hourly stipends and schedule flexibility around college lectures. Daily operations adhere strictly to Bacolod City sanitary permit requirements, including food-grade stainless steel surfaces, potable water carboys, and biodegradable sugarcane-bagasse cups.</w:t>
      </w:r>
    </w:p>
    <w:p>
      <w:pPr>
        <w:keepNext/>
        <w:spacing w:before="360" w:after="120"/>
      </w:pPr>
      <w:r>
        <w:rPr>
          <w:rFonts w:ascii="Calibri" w:hAnsi="Calibri"/>
          <w:b/>
          <w:color w:val="78350F"/>
          <w:sz w:val="32"/>
        </w:rPr>
        <w:t>4. Financial Projections and Budget Outlay</w:t>
      </w:r>
    </w:p>
    <w:p>
      <w:pPr>
        <w:spacing w:before="0" w:after="140" w:line="276" w:lineRule="auto"/>
      </w:pPr>
      <w:r>
        <w:rPr>
          <w:rFonts w:ascii="Calibri" w:hAnsi="Calibri"/>
          <w:color w:val="2D3748"/>
          <w:sz w:val="22"/>
        </w:rPr>
        <w:t>Financial models assume a conservative baseline of 120 cups sold daily during peak semester periods (22 operating days per month). Capital outlay is allocated across cart fabrication (P45,000), espresso equipment (P50,000), initial inventory (P15,000), and operating permits (P10,000).</w:t>
      </w:r>
    </w:p>
    <w:p>
      <w:pPr>
        <w:spacing w:before="160" w:after="80"/>
      </w:pPr>
      <w:r>
        <w:rPr>
          <w:b/>
          <w:sz w:val="20"/>
        </w:rPr>
        <w:t>Table 2. 12-Month Projected Income Statement Summary</w:t>
      </w:r>
    </w:p>
    <w:tbl>
      <w:tblPr>
        <w:tblW w:type="auto" w:w="0"/>
        <w:jc w:val="center"/>
        <w:tblLook w:firstColumn="1" w:firstRow="1" w:lastColumn="0" w:lastRow="0" w:noHBand="0" w:noVBand="1" w:val="04A0"/>
      </w:tblPr>
      <w:tblGrid>
        <w:gridCol w:w="2340"/>
        <w:gridCol w:w="2340"/>
        <w:gridCol w:w="2340"/>
        <w:gridCol w:w="2340"/>
      </w:tblGrid>
      <w:tr>
        <w:tc>
          <w:tcPr>
            <w:tcW w:type="dxa" w:w="2880"/>
            <w:shd w:fill="78350F"/>
            <w:tcMar>
              <w:top w:w="140" w:type="dxa"/>
              <w:bottom w:w="140" w:type="dxa"/>
              <w:left w:w="180" w:type="dxa"/>
              <w:right w:w="180" w:type="dxa"/>
            </w:tcMar>
          </w:tcPr>
          <w:p>
            <w:pPr>
              <w:jc w:val="left"/>
            </w:pPr>
            <w:r>
              <w:rPr>
                <w:rFonts w:ascii="Calibri" w:hAnsi="Calibri"/>
                <w:b/>
                <w:color w:val="FFFFFF"/>
                <w:sz w:val="20"/>
              </w:rPr>
              <w:t>Operating Metric</w:t>
            </w:r>
          </w:p>
        </w:tc>
        <w:tc>
          <w:tcPr>
            <w:tcW w:type="dxa" w:w="2016"/>
            <w:shd w:fill="78350F"/>
            <w:tcMar>
              <w:top w:w="140" w:type="dxa"/>
              <w:bottom w:w="140" w:type="dxa"/>
              <w:left w:w="180" w:type="dxa"/>
              <w:right w:w="180" w:type="dxa"/>
            </w:tcMar>
          </w:tcPr>
          <w:p>
            <w:pPr>
              <w:jc w:val="left"/>
            </w:pPr>
            <w:r>
              <w:rPr>
                <w:rFonts w:ascii="Calibri" w:hAnsi="Calibri"/>
                <w:b/>
                <w:color w:val="FFFFFF"/>
                <w:sz w:val="20"/>
              </w:rPr>
              <w:t>Quarter 1</w:t>
            </w:r>
          </w:p>
        </w:tc>
        <w:tc>
          <w:tcPr>
            <w:tcW w:type="dxa" w:w="2016"/>
            <w:shd w:fill="78350F"/>
            <w:tcMar>
              <w:top w:w="140" w:type="dxa"/>
              <w:bottom w:w="140" w:type="dxa"/>
              <w:left w:w="180" w:type="dxa"/>
              <w:right w:w="180" w:type="dxa"/>
            </w:tcMar>
          </w:tcPr>
          <w:p>
            <w:pPr>
              <w:jc w:val="left"/>
            </w:pPr>
            <w:r>
              <w:rPr>
                <w:rFonts w:ascii="Calibri" w:hAnsi="Calibri"/>
                <w:b/>
                <w:color w:val="FFFFFF"/>
                <w:sz w:val="20"/>
              </w:rPr>
              <w:t>Quarter 2</w:t>
            </w:r>
          </w:p>
        </w:tc>
        <w:tc>
          <w:tcPr>
            <w:tcW w:type="dxa" w:w="2448"/>
            <w:shd w:fill="78350F"/>
            <w:tcMar>
              <w:top w:w="140" w:type="dxa"/>
              <w:bottom w:w="140" w:type="dxa"/>
              <w:left w:w="180" w:type="dxa"/>
              <w:right w:w="180" w:type="dxa"/>
            </w:tcMar>
          </w:tcPr>
          <w:p>
            <w:pPr>
              <w:jc w:val="left"/>
            </w:pPr>
            <w:r>
              <w:rPr>
                <w:rFonts w:ascii="Calibri" w:hAnsi="Calibri"/>
                <w:b/>
                <w:color w:val="FFFFFF"/>
                <w:sz w:val="20"/>
              </w:rPr>
              <w:t>Annual Total (Year 1)</w:t>
            </w:r>
          </w:p>
        </w:tc>
      </w:tr>
      <w:tr>
        <w:tc>
          <w:tcPr>
            <w:tcW w:type="dxa" w:w="2880"/>
            <w:shd w:fill="FFFFFF"/>
            <w:tcMar>
              <w:top w:w="120" w:type="dxa"/>
              <w:bottom w:w="120" w:type="dxa"/>
              <w:left w:w="180" w:type="dxa"/>
              <w:right w:w="180" w:type="dxa"/>
            </w:tcMar>
          </w:tcPr>
          <w:p>
            <w:r>
              <w:rPr>
                <w:rFonts w:ascii="Calibri" w:hAnsi="Calibri"/>
                <w:color w:val="2D3748"/>
                <w:sz w:val="19"/>
              </w:rPr>
              <w:t>Gross Beverage Sales</w:t>
            </w:r>
          </w:p>
        </w:tc>
        <w:tc>
          <w:tcPr>
            <w:tcW w:type="dxa" w:w="2016"/>
            <w:shd w:fill="FFFFFF"/>
            <w:tcMar>
              <w:top w:w="120" w:type="dxa"/>
              <w:bottom w:w="120" w:type="dxa"/>
              <w:left w:w="180" w:type="dxa"/>
              <w:right w:w="180" w:type="dxa"/>
            </w:tcMar>
          </w:tcPr>
          <w:p>
            <w:r>
              <w:rPr>
                <w:rFonts w:ascii="Calibri" w:hAnsi="Calibri"/>
                <w:color w:val="2D3748"/>
                <w:sz w:val="19"/>
              </w:rPr>
              <w:t>P356,400</w:t>
            </w:r>
          </w:p>
        </w:tc>
        <w:tc>
          <w:tcPr>
            <w:tcW w:type="dxa" w:w="2016"/>
            <w:shd w:fill="FFFFFF"/>
            <w:tcMar>
              <w:top w:w="120" w:type="dxa"/>
              <w:bottom w:w="120" w:type="dxa"/>
              <w:left w:w="180" w:type="dxa"/>
              <w:right w:w="180" w:type="dxa"/>
            </w:tcMar>
          </w:tcPr>
          <w:p>
            <w:r>
              <w:rPr>
                <w:rFonts w:ascii="Calibri" w:hAnsi="Calibri"/>
                <w:color w:val="2D3748"/>
                <w:sz w:val="19"/>
              </w:rPr>
              <w:t>P412,500</w:t>
            </w:r>
          </w:p>
        </w:tc>
        <w:tc>
          <w:tcPr>
            <w:tcW w:type="dxa" w:w="2448"/>
            <w:shd w:fill="FFFFFF"/>
            <w:tcMar>
              <w:top w:w="120" w:type="dxa"/>
              <w:bottom w:w="120" w:type="dxa"/>
              <w:left w:w="180" w:type="dxa"/>
              <w:right w:w="180" w:type="dxa"/>
            </w:tcMar>
          </w:tcPr>
          <w:p>
            <w:r>
              <w:rPr>
                <w:rFonts w:ascii="Calibri" w:hAnsi="Calibri"/>
                <w:color w:val="2D3748"/>
                <w:sz w:val="19"/>
              </w:rPr>
              <w:t>P1,544,400</w:t>
            </w:r>
          </w:p>
        </w:tc>
      </w:tr>
      <w:tr>
        <w:tc>
          <w:tcPr>
            <w:tcW w:type="dxa" w:w="2880"/>
            <w:shd w:fill="FEF3C7"/>
            <w:tcMar>
              <w:top w:w="120" w:type="dxa"/>
              <w:bottom w:w="120" w:type="dxa"/>
              <w:left w:w="180" w:type="dxa"/>
              <w:right w:w="180" w:type="dxa"/>
            </w:tcMar>
          </w:tcPr>
          <w:p>
            <w:r>
              <w:rPr>
                <w:rFonts w:ascii="Calibri" w:hAnsi="Calibri"/>
                <w:color w:val="2D3748"/>
                <w:sz w:val="19"/>
              </w:rPr>
              <w:t>Cost of Goods Sold (COGS)</w:t>
            </w:r>
          </w:p>
        </w:tc>
        <w:tc>
          <w:tcPr>
            <w:tcW w:type="dxa" w:w="2016"/>
            <w:shd w:fill="FEF3C7"/>
            <w:tcMar>
              <w:top w:w="120" w:type="dxa"/>
              <w:bottom w:w="120" w:type="dxa"/>
              <w:left w:w="180" w:type="dxa"/>
              <w:right w:w="180" w:type="dxa"/>
            </w:tcMar>
          </w:tcPr>
          <w:p>
            <w:r>
              <w:rPr>
                <w:rFonts w:ascii="Calibri" w:hAnsi="Calibri"/>
                <w:color w:val="2D3748"/>
                <w:sz w:val="19"/>
              </w:rPr>
              <w:t>P124,740</w:t>
            </w:r>
          </w:p>
        </w:tc>
        <w:tc>
          <w:tcPr>
            <w:tcW w:type="dxa" w:w="2016"/>
            <w:shd w:fill="FEF3C7"/>
            <w:tcMar>
              <w:top w:w="120" w:type="dxa"/>
              <w:bottom w:w="120" w:type="dxa"/>
              <w:left w:w="180" w:type="dxa"/>
              <w:right w:w="180" w:type="dxa"/>
            </w:tcMar>
          </w:tcPr>
          <w:p>
            <w:r>
              <w:rPr>
                <w:rFonts w:ascii="Calibri" w:hAnsi="Calibri"/>
                <w:color w:val="2D3748"/>
                <w:sz w:val="19"/>
              </w:rPr>
              <w:t>P144,375</w:t>
            </w:r>
          </w:p>
        </w:tc>
        <w:tc>
          <w:tcPr>
            <w:tcW w:type="dxa" w:w="2448"/>
            <w:shd w:fill="FEF3C7"/>
            <w:tcMar>
              <w:top w:w="120" w:type="dxa"/>
              <w:bottom w:w="120" w:type="dxa"/>
              <w:left w:w="180" w:type="dxa"/>
              <w:right w:w="180" w:type="dxa"/>
            </w:tcMar>
          </w:tcPr>
          <w:p>
            <w:r>
              <w:rPr>
                <w:rFonts w:ascii="Calibri" w:hAnsi="Calibri"/>
                <w:color w:val="2D3748"/>
                <w:sz w:val="19"/>
              </w:rPr>
              <w:t>P540,540</w:t>
            </w:r>
          </w:p>
        </w:tc>
      </w:tr>
      <w:tr>
        <w:tc>
          <w:tcPr>
            <w:tcW w:type="dxa" w:w="2880"/>
            <w:shd w:fill="FFFFFF"/>
            <w:tcMar>
              <w:top w:w="120" w:type="dxa"/>
              <w:bottom w:w="120" w:type="dxa"/>
              <w:left w:w="180" w:type="dxa"/>
              <w:right w:w="180" w:type="dxa"/>
            </w:tcMar>
          </w:tcPr>
          <w:p>
            <w:r>
              <w:rPr>
                <w:rFonts w:ascii="Calibri" w:hAnsi="Calibri"/>
                <w:color w:val="2D3748"/>
                <w:sz w:val="19"/>
              </w:rPr>
              <w:t>Operating Expenses (Rent/Labor)</w:t>
            </w:r>
          </w:p>
        </w:tc>
        <w:tc>
          <w:tcPr>
            <w:tcW w:type="dxa" w:w="2016"/>
            <w:shd w:fill="FFFFFF"/>
            <w:tcMar>
              <w:top w:w="120" w:type="dxa"/>
              <w:bottom w:w="120" w:type="dxa"/>
              <w:left w:w="180" w:type="dxa"/>
              <w:right w:w="180" w:type="dxa"/>
            </w:tcMar>
          </w:tcPr>
          <w:p>
            <w:r>
              <w:rPr>
                <w:rFonts w:ascii="Calibri" w:hAnsi="Calibri"/>
                <w:color w:val="2D3748"/>
                <w:sz w:val="19"/>
              </w:rPr>
              <w:t>P112,000</w:t>
            </w:r>
          </w:p>
        </w:tc>
        <w:tc>
          <w:tcPr>
            <w:tcW w:type="dxa" w:w="2016"/>
            <w:shd w:fill="FFFFFF"/>
            <w:tcMar>
              <w:top w:w="120" w:type="dxa"/>
              <w:bottom w:w="120" w:type="dxa"/>
              <w:left w:w="180" w:type="dxa"/>
              <w:right w:w="180" w:type="dxa"/>
            </w:tcMar>
          </w:tcPr>
          <w:p>
            <w:r>
              <w:rPr>
                <w:rFonts w:ascii="Calibri" w:hAnsi="Calibri"/>
                <w:color w:val="2D3748"/>
                <w:sz w:val="19"/>
              </w:rPr>
              <w:t>P112,000</w:t>
            </w:r>
          </w:p>
        </w:tc>
        <w:tc>
          <w:tcPr>
            <w:tcW w:type="dxa" w:w="2448"/>
            <w:shd w:fill="FFFFFF"/>
            <w:tcMar>
              <w:top w:w="120" w:type="dxa"/>
              <w:bottom w:w="120" w:type="dxa"/>
              <w:left w:w="180" w:type="dxa"/>
              <w:right w:w="180" w:type="dxa"/>
            </w:tcMar>
          </w:tcPr>
          <w:p>
            <w:r>
              <w:rPr>
                <w:rFonts w:ascii="Calibri" w:hAnsi="Calibri"/>
                <w:color w:val="2D3748"/>
                <w:sz w:val="19"/>
              </w:rPr>
              <w:t>P448,000</w:t>
            </w:r>
          </w:p>
        </w:tc>
      </w:tr>
      <w:tr>
        <w:tc>
          <w:tcPr>
            <w:tcW w:type="dxa" w:w="2880"/>
            <w:shd w:fill="FEF3C7"/>
            <w:tcMar>
              <w:top w:w="120" w:type="dxa"/>
              <w:bottom w:w="120" w:type="dxa"/>
              <w:left w:w="180" w:type="dxa"/>
              <w:right w:w="180" w:type="dxa"/>
            </w:tcMar>
          </w:tcPr>
          <w:p>
            <w:r>
              <w:rPr>
                <w:rFonts w:ascii="Calibri" w:hAnsi="Calibri"/>
                <w:color w:val="2D3748"/>
                <w:sz w:val="19"/>
              </w:rPr>
              <w:t>Net Operating Income</w:t>
            </w:r>
          </w:p>
        </w:tc>
        <w:tc>
          <w:tcPr>
            <w:tcW w:type="dxa" w:w="2016"/>
            <w:shd w:fill="FEF3C7"/>
            <w:tcMar>
              <w:top w:w="120" w:type="dxa"/>
              <w:bottom w:w="120" w:type="dxa"/>
              <w:left w:w="180" w:type="dxa"/>
              <w:right w:w="180" w:type="dxa"/>
            </w:tcMar>
          </w:tcPr>
          <w:p>
            <w:r>
              <w:rPr>
                <w:rFonts w:ascii="Calibri" w:hAnsi="Calibri"/>
                <w:color w:val="2D3748"/>
                <w:sz w:val="19"/>
              </w:rPr>
              <w:t>P119,660</w:t>
            </w:r>
          </w:p>
        </w:tc>
        <w:tc>
          <w:tcPr>
            <w:tcW w:type="dxa" w:w="2016"/>
            <w:shd w:fill="FEF3C7"/>
            <w:tcMar>
              <w:top w:w="120" w:type="dxa"/>
              <w:bottom w:w="120" w:type="dxa"/>
              <w:left w:w="180" w:type="dxa"/>
              <w:right w:w="180" w:type="dxa"/>
            </w:tcMar>
          </w:tcPr>
          <w:p>
            <w:r>
              <w:rPr>
                <w:rFonts w:ascii="Calibri" w:hAnsi="Calibri"/>
                <w:color w:val="2D3748"/>
                <w:sz w:val="19"/>
              </w:rPr>
              <w:t>P156,125</w:t>
            </w:r>
          </w:p>
        </w:tc>
        <w:tc>
          <w:tcPr>
            <w:tcW w:type="dxa" w:w="2448"/>
            <w:shd w:fill="FEF3C7"/>
            <w:tcMar>
              <w:top w:w="120" w:type="dxa"/>
              <w:bottom w:w="120" w:type="dxa"/>
              <w:left w:w="180" w:type="dxa"/>
              <w:right w:w="180" w:type="dxa"/>
            </w:tcMar>
          </w:tcPr>
          <w:p>
            <w:r>
              <w:rPr>
                <w:rFonts w:ascii="Calibri" w:hAnsi="Calibri"/>
                <w:color w:val="2D3748"/>
                <w:sz w:val="19"/>
              </w:rPr>
              <w:t>P555,860</w:t>
            </w:r>
          </w:p>
        </w:tc>
      </w:tr>
    </w:tbl>
    <w:p>
      <w:pPr>
        <w:keepNext/>
        <w:spacing w:before="360" w:after="120"/>
      </w:pPr>
      <w:r>
        <w:rPr>
          <w:rFonts w:ascii="Calibri" w:hAnsi="Calibri"/>
          <w:b/>
          <w:color w:val="78350F"/>
          <w:sz w:val="32"/>
        </w:rPr>
        <w:t>5. Marketing Strategy, Loyalty, and Sustainability</w:t>
      </w:r>
    </w:p>
    <w:p>
      <w:pPr>
        <w:spacing w:before="0" w:after="140" w:line="276" w:lineRule="auto"/>
      </w:pPr>
      <w:r>
        <w:rPr>
          <w:rFonts w:ascii="Calibri" w:hAnsi="Calibri"/>
          <w:color w:val="2D3748"/>
          <w:sz w:val="22"/>
        </w:rPr>
        <w:t>Marketing relies on digital engagement via GCash/Maya QR payments, a 'Buy 6 Get 1 Free' digital stamp card integrated with Telegram, and exam week hydration packages. Word-of-mouth campus influencers and IT student partnerships will drive launch week velocity.</w:t>
      </w:r>
    </w:p>
    <w:p>
      <w:pPr>
        <w:spacing w:before="0" w:after="140" w:line="276" w:lineRule="auto"/>
      </w:pPr>
      <w:r>
        <w:rPr>
          <w:rFonts w:ascii="Calibri" w:hAnsi="Calibri"/>
          <w:color w:val="2D3748"/>
          <w:sz w:val="22"/>
        </w:rPr>
        <w:t>To advance environmental sustainability, students bringing reusable tumblers receive an automatic P5 rebate, minimizing campus single-use plastic waste.</w:t>
      </w:r>
    </w:p>
    <w:p>
      <w:pPr>
        <w:keepNext/>
        <w:spacing w:before="360" w:after="120"/>
      </w:pPr>
      <w:r>
        <w:rPr>
          <w:rFonts w:ascii="Calibri" w:hAnsi="Calibri"/>
          <w:b/>
          <w:color w:val="78350F"/>
          <w:sz w:val="32"/>
        </w:rPr>
        <w:t>6. Risk Management and Contingency Matrix</w:t>
      </w:r>
    </w:p>
    <w:p>
      <w:pPr>
        <w:spacing w:before="0" w:after="140" w:line="276" w:lineRule="auto"/>
      </w:pPr>
      <w:r>
        <w:rPr>
          <w:rFonts w:ascii="Calibri" w:hAnsi="Calibri"/>
          <w:color w:val="2D3748"/>
          <w:sz w:val="22"/>
        </w:rPr>
        <w:t>Key operational vulnerabilities include raw bean price inflation, rainy weather impacting courtyard foot traffic, and semester break lulls. Mitigation strategies include forward purchasing contracts with local bean growers and pop-up agreements for indoor university sports and academic summit events.</w:t>
      </w:r>
    </w:p>
    <w:p>
      <w:pPr>
        <w:keepNext/>
        <w:spacing w:before="360" w:after="120"/>
      </w:pPr>
      <w:r>
        <w:rPr>
          <w:rFonts w:ascii="Calibri" w:hAnsi="Calibri"/>
          <w:b/>
          <w:color w:val="78350F"/>
          <w:sz w:val="32"/>
        </w:rPr>
        <w:t>References</w:t>
      </w:r>
    </w:p>
    <w:p>
      <w:pPr>
        <w:spacing w:after="120"/>
        <w:ind w:left="720" w:hanging="720"/>
      </w:pPr>
      <w:r>
        <w:rPr>
          <w:rFonts w:ascii="Calibri" w:hAnsi="Calibri"/>
          <w:sz w:val="20"/>
        </w:rPr>
        <w:t>Kotler, P., &amp; Armstrong, G. (2020). Principles of marketing (18th ed.). Pearson Education.</w:t>
      </w:r>
    </w:p>
    <w:p>
      <w:pPr>
        <w:spacing w:after="120"/>
        <w:ind w:left="720" w:hanging="720"/>
      </w:pPr>
      <w:r>
        <w:rPr>
          <w:rFonts w:ascii="Calibri" w:hAnsi="Calibri"/>
          <w:sz w:val="20"/>
        </w:rPr>
        <w:t>Philippine Statistics Authority. (2023). Food and beverage service industry economic performance report. National Economic and Development Authority.</w:t>
      </w:r>
    </w:p>
    <w:p>
      <w:pPr>
        <w:spacing w:after="120"/>
        <w:ind w:left="720" w:hanging="720"/>
      </w:pPr>
      <w:r>
        <w:rPr>
          <w:rFonts w:ascii="Calibri" w:hAnsi="Calibri"/>
          <w:sz w:val="20"/>
        </w:rPr>
        <w:t>SBDC National Information Clearinghouse. (2022). Mobile food cart startup benchmarks and financial modeling guides. U.S. Small Business Administration.</w:t>
      </w:r>
    </w:p>
    <w:p>
      <w:pPr>
        <w:spacing w:after="120"/>
        <w:ind w:left="720" w:hanging="720"/>
      </w:pPr>
      <w:r>
        <w:rPr>
          <w:rFonts w:ascii="Calibri" w:hAnsi="Calibri"/>
          <w:sz w:val="20"/>
        </w:rPr>
        <w:t>Specialty Coffee Association. (2021). The coffee economic value study: Trends in student and young adult consumption. SCA Research Publications.</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STI West Negros University  •  Jhon Paulo Gascon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Business Plan: Brewed Horizon Coffee Cart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