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4A5568"/>
          <w:sz w:val="24"/>
        </w:rPr>
        <w:t>STI WEST NEGROS UNIVERSITY</w:t>
      </w:r>
    </w:p>
    <w:p>
      <w:pPr>
        <w:spacing w:after="1440"/>
        <w:jc w:val="center"/>
      </w:pPr>
      <w:r>
        <w:rPr>
          <w:rFonts w:ascii="Calibri" w:hAnsi="Calibri"/>
          <w:color w:val="718096"/>
          <w:sz w:val="20"/>
        </w:rPr>
        <w:t>College of Information and Communications Technology</w:t>
      </w:r>
    </w:p>
    <w:p>
      <w:pPr>
        <w:spacing w:after="280"/>
        <w:jc w:val="center"/>
      </w:pPr>
      <w:r>
        <w:rPr>
          <w:rFonts w:ascii="Calibri" w:hAnsi="Calibri"/>
          <w:b/>
          <w:color w:val="991B1B"/>
          <w:sz w:val="48"/>
        </w:rPr>
        <w:t>Cybercrime Prevention Act of 2012 (RA 10175) and Online Safety in the Philippines</w:t>
      </w:r>
    </w:p>
    <w:p>
      <w:pPr>
        <w:spacing w:after="320"/>
        <w:jc w:val="center"/>
      </w:pPr>
      <w:r>
        <w:rPr>
          <w:color w:val="991B1B"/>
          <w:sz w:val="20"/>
        </w:rPr>
        <w:t>————————————————————————————</w:t>
      </w:r>
    </w:p>
    <w:p>
      <w:pPr>
        <w:spacing w:after="2800"/>
        <w:jc w:val="center"/>
      </w:pPr>
      <w:r>
        <w:rPr>
          <w:rFonts w:ascii="Calibri" w:hAnsi="Calibri"/>
          <w:i/>
          <w:color w:val="4A5568"/>
          <w:sz w:val="26"/>
        </w:rPr>
        <w:t>A Legal Framework, Judicial Review, and Digital Safety Case Analysis</w:t>
      </w:r>
    </w:p>
    <w:p>
      <w:pPr>
        <w:spacing w:line="312" w:lineRule="auto" w:after="400"/>
        <w:jc w:val="center"/>
      </w:pPr>
      <w:r>
        <w:rPr>
          <w:rFonts w:ascii="Calibri" w:hAnsi="Calibri"/>
          <w:color w:val="718096"/>
          <w:sz w:val="20"/>
        </w:rPr>
        <w:t>Institutional Legal Case Study</w:t>
        <w:br/>
        <w:t>Presented by:</w:t>
        <w:br/>
      </w:r>
      <w:r>
        <w:rPr>
          <w:rFonts w:ascii="Calibri" w:hAnsi="Calibri"/>
          <w:b/>
          <w:color w:val="991B1B"/>
          <w:sz w:val="26"/>
        </w:rPr>
        <w:t>JHON PAULO V. GASCON</w:t>
        <w:br/>
      </w:r>
      <w:r>
        <w:rPr>
          <w:rFonts w:ascii="Calibri" w:hAnsi="Calibri"/>
          <w:color w:val="4A5568"/>
          <w:sz w:val="20"/>
        </w:rPr>
        <w:t>Bachelor of Science in Information Technology (BSIT)</w:t>
        <w:br/>
        <w:t>Bacolod City, Philippines</w:t>
        <w:br/>
        <w:t>October 2026</w:t>
      </w:r>
    </w:p>
    <w:p>
      <w:r>
        <w:br w:type="page"/>
      </w:r>
    </w:p>
    <w:p>
      <w:pPr>
        <w:sectPr>
          <w:headerReference w:type="default" r:id="rId9"/>
          <w:footerReference w:type="default" r:id="rId10"/>
          <w:pgSz w:w="12240" w:h="15840"/>
          <w:pgMar w:top="1440" w:right="1440" w:bottom="1440" w:left="1440" w:header="720" w:footer="720" w:gutter="0"/>
          <w:cols w:space="720"/>
          <w:titlePg/>
          <w:docGrid w:linePitch="360"/>
        </w:sectPr>
      </w:pPr>
    </w:p>
    <w:p>
      <w:pPr>
        <w:keepNext/>
        <w:spacing w:before="360" w:after="120"/>
      </w:pPr>
      <w:r>
        <w:rPr>
          <w:rFonts w:ascii="Calibri" w:hAnsi="Calibri"/>
          <w:b/>
          <w:color w:val="991B1B"/>
          <w:sz w:val="32"/>
        </w:rPr>
        <w:t>Executive Summary</w:t>
      </w:r>
    </w:p>
    <w:p>
      <w:pPr>
        <w:spacing w:before="0" w:after="140" w:line="276" w:lineRule="auto"/>
      </w:pPr>
      <w:r>
        <w:rPr>
          <w:rFonts w:ascii="Calibri" w:hAnsi="Calibri"/>
          <w:color w:val="2D3748"/>
          <w:sz w:val="22"/>
        </w:rPr>
        <w:t>Republic Act No. 10175 serves as the cornerstone of the Philippine cyber justice framework. This case study analyzes its statutory provisions, its landmark constitutional review by the Supreme Court in Disini v. Secretary of Justice (G.R. No. 203335), and its modern enforcement across university campuses. By examining documented instances of cyberlibel, computer fraud, and identity theft, this report assesses the operational boundaries between legitimate freedom of expression and criminal liability in digital environments.</w:t>
      </w:r>
    </w:p>
    <w:p>
      <w:pPr>
        <w:keepNext/>
        <w:spacing w:before="360" w:after="120"/>
      </w:pPr>
      <w:r>
        <w:rPr>
          <w:rFonts w:ascii="Calibri" w:hAnsi="Calibri"/>
          <w:b/>
          <w:color w:val="991B1B"/>
          <w:sz w:val="32"/>
        </w:rPr>
        <w:t>1. Statutory Overview and Core Provisions</w:t>
      </w:r>
    </w:p>
    <w:p>
      <w:pPr>
        <w:spacing w:before="0" w:after="140" w:line="276" w:lineRule="auto"/>
      </w:pPr>
      <w:r>
        <w:rPr>
          <w:rFonts w:ascii="Calibri" w:hAnsi="Calibri"/>
          <w:color w:val="2D3748"/>
          <w:sz w:val="22"/>
        </w:rPr>
        <w:t>Approved into law on September 12, 2012, Republic Act No. 10175 addresses crimes against the confidentiality, integrity, and availability of computer data, computer-related offenses, and content-related violations. Section 4 classifies actionable offenses including unauthorized system access, data interference, cybersex, child pornography, and cyberlibel.</w:t>
      </w:r>
    </w:p>
    <w:p>
      <w:pPr>
        <w:spacing w:before="0" w:after="140" w:line="276" w:lineRule="auto"/>
      </w:pPr>
      <w:r>
        <w:rPr>
          <w:rFonts w:ascii="Calibri" w:hAnsi="Calibri"/>
          <w:color w:val="2D3748"/>
          <w:sz w:val="22"/>
        </w:rPr>
        <w:t>Under Section 6, the statute establishes a special aggravating circumstance: all crimes defined and penalized by the Revised Penal Code, if committed by, through, and with the use of information and communications technologies, are penalized one degree higher.</w:t>
      </w:r>
    </w:p>
    <w:p>
      <w:pPr>
        <w:keepNext/>
        <w:spacing w:before="240" w:after="80"/>
      </w:pPr>
      <w:r>
        <w:rPr>
          <w:rFonts w:ascii="Calibri" w:hAnsi="Calibri"/>
          <w:b/>
          <w:color w:val="991B1B"/>
          <w:sz w:val="26"/>
        </w:rPr>
        <w:t>1.1 Legislative Intent and Jurisdiction</w:t>
      </w:r>
    </w:p>
    <w:p>
      <w:pPr>
        <w:spacing w:before="0" w:after="140" w:line="276" w:lineRule="auto"/>
      </w:pPr>
      <w:r>
        <w:rPr>
          <w:rFonts w:ascii="Calibri" w:hAnsi="Calibri"/>
          <w:color w:val="2D3748"/>
          <w:sz w:val="22"/>
        </w:rPr>
        <w:t>Congress enacted RA 10175 in response to expanding internet adoption and cross-border digital delinquency. Chapter V explicitly empowers the Philippine National Police Cybercrime Group (PNP-ACG) and the National Bureau of Investigation Cybercrime Division (NBI-CCD) to execute search and seizure warrants for computer data.</w:t>
      </w:r>
    </w:p>
    <w:p>
      <w:pPr>
        <w:keepNext/>
        <w:spacing w:before="360" w:after="120"/>
      </w:pPr>
      <w:r>
        <w:rPr>
          <w:rFonts w:ascii="Calibri" w:hAnsi="Calibri"/>
          <w:b/>
          <w:color w:val="991B1B"/>
          <w:sz w:val="32"/>
        </w:rPr>
        <w:t>2. Landmark Jurisprudence: Disini v. Secretary of Justice</w:t>
      </w:r>
    </w:p>
    <w:p>
      <w:pPr>
        <w:spacing w:before="0" w:after="140" w:line="276" w:lineRule="auto"/>
      </w:pPr>
      <w:r>
        <w:rPr>
          <w:rFonts w:ascii="Calibri" w:hAnsi="Calibri"/>
          <w:color w:val="2D3748"/>
          <w:sz w:val="22"/>
        </w:rPr>
        <w:t>In the consolidated petitions of Disini v. Secretary of Justice (G.R. No. 203335, February 18, 2014), the Supreme Court ruled on the constitutionality of multiple contested sections of the Act. While upholding the validity of online libel under Section 4(c)(4), the Court strictly limited liability to the original author, protecting netizens who merely react, like, or share defamatory content from criminal culpability.</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180" w:type="dxa"/>
              <w:right w:w="180" w:type="dxa"/>
            </w:tcMar>
          </w:tcPr>
          <w:p>
            <w:pPr>
              <w:spacing w:after="40"/>
            </w:pPr>
            <w:r>
              <w:rPr>
                <w:rFonts w:ascii="Calibri" w:hAnsi="Calibri"/>
                <w:b/>
                <w:color w:val="1E3A8A"/>
                <w:sz w:val="20"/>
              </w:rPr>
              <w:t xml:space="preserve">CONSTITUTIONAL SAFEGUARD NOTICE: </w:t>
            </w:r>
            <w:r>
              <w:rPr>
                <w:rFonts w:ascii="Calibri" w:hAnsi="Calibri"/>
                <w:color w:val="1E293B"/>
                <w:sz w:val="20"/>
              </w:rPr>
              <w:t>The Supreme Court struck down Section 12 (warrantless real-time traffic data collection) and Section 19 (unilateral DOJ website takedowns) as unconstitutional violations of due process and search warrants.</w:t>
            </w:r>
          </w:p>
        </w:tc>
      </w:tr>
    </w:tbl>
    <w:p>
      <w:pPr>
        <w:spacing w:after="80"/>
      </w:pPr>
    </w:p>
    <w:p>
      <w:pPr>
        <w:keepNext/>
        <w:spacing w:before="240" w:after="80"/>
      </w:pPr>
      <w:r>
        <w:rPr>
          <w:rFonts w:ascii="Calibri" w:hAnsi="Calibri"/>
          <w:b/>
          <w:color w:val="991B1B"/>
          <w:sz w:val="26"/>
        </w:rPr>
        <w:t>2.1 Critical Distinctions in Online Libel</w:t>
      </w:r>
    </w:p>
    <w:p>
      <w:pPr>
        <w:spacing w:before="0" w:after="140" w:line="276" w:lineRule="auto"/>
      </w:pPr>
      <w:r>
        <w:rPr>
          <w:rFonts w:ascii="Calibri" w:hAnsi="Calibri"/>
          <w:color w:val="2D3748"/>
          <w:sz w:val="22"/>
        </w:rPr>
        <w:t>Prior to Disini, civil society organizations expressed grave apprehension regarding potential chilling effects on public dissent. The High Tribunal underscored that criminal libel cannot be weaponized against fair commentary on matters of public interest. However, maliciously fabricated allegations targeting private reputation remain actionable regardless of medium.</w:t>
      </w:r>
    </w:p>
    <w:p>
      <w:pPr>
        <w:spacing w:before="160" w:after="80"/>
      </w:pPr>
      <w:r>
        <w:rPr>
          <w:b/>
          <w:sz w:val="20"/>
        </w:rPr>
        <w:t>Table 1. Core Statutory Offenses and Legal Liabilities under RA 10175</w:t>
      </w:r>
    </w:p>
    <w:tbl>
      <w:tblPr>
        <w:tblW w:type="auto" w:w="0"/>
        <w:jc w:val="center"/>
        <w:tblLook w:firstColumn="1" w:firstRow="1" w:lastColumn="0" w:lastRow="0" w:noHBand="0" w:noVBand="1" w:val="04A0"/>
      </w:tblPr>
      <w:tblGrid>
        <w:gridCol w:w="2340"/>
        <w:gridCol w:w="2340"/>
        <w:gridCol w:w="2340"/>
        <w:gridCol w:w="2340"/>
      </w:tblGrid>
      <w:tr>
        <w:tc>
          <w:tcPr>
            <w:tcW w:type="dxa" w:w="2160"/>
            <w:shd w:fill="991B1B"/>
            <w:tcMar>
              <w:top w:w="140" w:type="dxa"/>
              <w:bottom w:w="140" w:type="dxa"/>
              <w:left w:w="180" w:type="dxa"/>
              <w:right w:w="180" w:type="dxa"/>
            </w:tcMar>
          </w:tcPr>
          <w:p>
            <w:pPr>
              <w:jc w:val="left"/>
            </w:pPr>
            <w:r>
              <w:rPr>
                <w:rFonts w:ascii="Calibri" w:hAnsi="Calibri"/>
                <w:b/>
                <w:color w:val="FFFFFF"/>
                <w:sz w:val="20"/>
              </w:rPr>
              <w:t>Statutory Provision</w:t>
            </w:r>
          </w:p>
        </w:tc>
        <w:tc>
          <w:tcPr>
            <w:tcW w:type="dxa" w:w="2592"/>
            <w:shd w:fill="991B1B"/>
            <w:tcMar>
              <w:top w:w="140" w:type="dxa"/>
              <w:bottom w:w="140" w:type="dxa"/>
              <w:left w:w="180" w:type="dxa"/>
              <w:right w:w="180" w:type="dxa"/>
            </w:tcMar>
          </w:tcPr>
          <w:p>
            <w:pPr>
              <w:jc w:val="left"/>
            </w:pPr>
            <w:r>
              <w:rPr>
                <w:rFonts w:ascii="Calibri" w:hAnsi="Calibri"/>
                <w:b/>
                <w:color w:val="FFFFFF"/>
                <w:sz w:val="20"/>
              </w:rPr>
              <w:t>Designated Offense</w:t>
            </w:r>
          </w:p>
        </w:tc>
        <w:tc>
          <w:tcPr>
            <w:tcW w:type="dxa" w:w="2592"/>
            <w:shd w:fill="991B1B"/>
            <w:tcMar>
              <w:top w:w="140" w:type="dxa"/>
              <w:bottom w:w="140" w:type="dxa"/>
              <w:left w:w="180" w:type="dxa"/>
              <w:right w:w="180" w:type="dxa"/>
            </w:tcMar>
          </w:tcPr>
          <w:p>
            <w:pPr>
              <w:jc w:val="left"/>
            </w:pPr>
            <w:r>
              <w:rPr>
                <w:rFonts w:ascii="Calibri" w:hAnsi="Calibri"/>
                <w:b/>
                <w:color w:val="FFFFFF"/>
                <w:sz w:val="20"/>
              </w:rPr>
              <w:t>Governing Standard</w:t>
            </w:r>
          </w:p>
        </w:tc>
        <w:tc>
          <w:tcPr>
            <w:tcW w:type="dxa" w:w="2016"/>
            <w:shd w:fill="991B1B"/>
            <w:tcMar>
              <w:top w:w="140" w:type="dxa"/>
              <w:bottom w:w="140" w:type="dxa"/>
              <w:left w:w="180" w:type="dxa"/>
              <w:right w:w="180" w:type="dxa"/>
            </w:tcMar>
          </w:tcPr>
          <w:p>
            <w:pPr>
              <w:jc w:val="left"/>
            </w:pPr>
            <w:r>
              <w:rPr>
                <w:rFonts w:ascii="Calibri" w:hAnsi="Calibri"/>
                <w:b/>
                <w:color w:val="FFFFFF"/>
                <w:sz w:val="20"/>
              </w:rPr>
              <w:t>Statutory Penalty</w:t>
            </w:r>
          </w:p>
        </w:tc>
      </w:tr>
      <w:tr>
        <w:tc>
          <w:tcPr>
            <w:tcW w:type="dxa" w:w="2160"/>
            <w:shd w:fill="FFFFFF"/>
            <w:tcMar>
              <w:top w:w="120" w:type="dxa"/>
              <w:bottom w:w="120" w:type="dxa"/>
              <w:left w:w="180" w:type="dxa"/>
              <w:right w:w="180" w:type="dxa"/>
            </w:tcMar>
          </w:tcPr>
          <w:p>
            <w:r>
              <w:rPr>
                <w:rFonts w:ascii="Calibri" w:hAnsi="Calibri"/>
                <w:color w:val="2D3748"/>
                <w:sz w:val="19"/>
              </w:rPr>
              <w:t>Section 4(a)(1)</w:t>
            </w:r>
          </w:p>
        </w:tc>
        <w:tc>
          <w:tcPr>
            <w:tcW w:type="dxa" w:w="2592"/>
            <w:shd w:fill="FFFFFF"/>
            <w:tcMar>
              <w:top w:w="120" w:type="dxa"/>
              <w:bottom w:w="120" w:type="dxa"/>
              <w:left w:w="180" w:type="dxa"/>
              <w:right w:w="180" w:type="dxa"/>
            </w:tcMar>
          </w:tcPr>
          <w:p>
            <w:r>
              <w:rPr>
                <w:rFonts w:ascii="Calibri" w:hAnsi="Calibri"/>
                <w:color w:val="2D3748"/>
                <w:sz w:val="19"/>
              </w:rPr>
              <w:t>Illegal Access</w:t>
            </w:r>
          </w:p>
        </w:tc>
        <w:tc>
          <w:tcPr>
            <w:tcW w:type="dxa" w:w="2592"/>
            <w:shd w:fill="FFFFFF"/>
            <w:tcMar>
              <w:top w:w="120" w:type="dxa"/>
              <w:bottom w:w="120" w:type="dxa"/>
              <w:left w:w="180" w:type="dxa"/>
              <w:right w:w="180" w:type="dxa"/>
            </w:tcMar>
          </w:tcPr>
          <w:p>
            <w:r>
              <w:rPr>
                <w:rFonts w:ascii="Calibri" w:hAnsi="Calibri"/>
                <w:color w:val="2D3748"/>
                <w:sz w:val="19"/>
              </w:rPr>
              <w:t>Unauthorized entry into secure computer system</w:t>
            </w:r>
          </w:p>
        </w:tc>
        <w:tc>
          <w:tcPr>
            <w:tcW w:type="dxa" w:w="2016"/>
            <w:shd w:fill="FFFFFF"/>
            <w:tcMar>
              <w:top w:w="120" w:type="dxa"/>
              <w:bottom w:w="120" w:type="dxa"/>
              <w:left w:w="180" w:type="dxa"/>
              <w:right w:w="180" w:type="dxa"/>
            </w:tcMar>
          </w:tcPr>
          <w:p>
            <w:r>
              <w:rPr>
                <w:rFonts w:ascii="Calibri" w:hAnsi="Calibri"/>
                <w:color w:val="2D3748"/>
                <w:sz w:val="19"/>
              </w:rPr>
              <w:t>Prision mayor or fine of P200,000+</w:t>
            </w:r>
          </w:p>
        </w:tc>
      </w:tr>
      <w:tr>
        <w:tc>
          <w:tcPr>
            <w:tcW w:type="dxa" w:w="2160"/>
            <w:shd w:fill="FEF2F2"/>
            <w:tcMar>
              <w:top w:w="120" w:type="dxa"/>
              <w:bottom w:w="120" w:type="dxa"/>
              <w:left w:w="180" w:type="dxa"/>
              <w:right w:w="180" w:type="dxa"/>
            </w:tcMar>
          </w:tcPr>
          <w:p>
            <w:r>
              <w:rPr>
                <w:rFonts w:ascii="Calibri" w:hAnsi="Calibri"/>
                <w:color w:val="2D3748"/>
                <w:sz w:val="19"/>
              </w:rPr>
              <w:t>Section 4(b)(2)</w:t>
            </w:r>
          </w:p>
        </w:tc>
        <w:tc>
          <w:tcPr>
            <w:tcW w:type="dxa" w:w="2592"/>
            <w:shd w:fill="FEF2F2"/>
            <w:tcMar>
              <w:top w:w="120" w:type="dxa"/>
              <w:bottom w:w="120" w:type="dxa"/>
              <w:left w:w="180" w:type="dxa"/>
              <w:right w:w="180" w:type="dxa"/>
            </w:tcMar>
          </w:tcPr>
          <w:p>
            <w:r>
              <w:rPr>
                <w:rFonts w:ascii="Calibri" w:hAnsi="Calibri"/>
                <w:color w:val="2D3748"/>
                <w:sz w:val="19"/>
              </w:rPr>
              <w:t>Computer-Related Fraud</w:t>
            </w:r>
          </w:p>
        </w:tc>
        <w:tc>
          <w:tcPr>
            <w:tcW w:type="dxa" w:w="2592"/>
            <w:shd w:fill="FEF2F2"/>
            <w:tcMar>
              <w:top w:w="120" w:type="dxa"/>
              <w:bottom w:w="120" w:type="dxa"/>
              <w:left w:w="180" w:type="dxa"/>
              <w:right w:w="180" w:type="dxa"/>
            </w:tcMar>
          </w:tcPr>
          <w:p>
            <w:r>
              <w:rPr>
                <w:rFonts w:ascii="Calibri" w:hAnsi="Calibri"/>
                <w:color w:val="2D3748"/>
                <w:sz w:val="19"/>
              </w:rPr>
              <w:t>Unauthorized alteration causing financial injury</w:t>
            </w:r>
          </w:p>
        </w:tc>
        <w:tc>
          <w:tcPr>
            <w:tcW w:type="dxa" w:w="2016"/>
            <w:shd w:fill="FEF2F2"/>
            <w:tcMar>
              <w:top w:w="120" w:type="dxa"/>
              <w:bottom w:w="120" w:type="dxa"/>
              <w:left w:w="180" w:type="dxa"/>
              <w:right w:w="180" w:type="dxa"/>
            </w:tcMar>
          </w:tcPr>
          <w:p>
            <w:r>
              <w:rPr>
                <w:rFonts w:ascii="Calibri" w:hAnsi="Calibri"/>
                <w:color w:val="2D3748"/>
                <w:sz w:val="19"/>
              </w:rPr>
              <w:t>Prision mayor or fine of P200,000+</w:t>
            </w:r>
          </w:p>
        </w:tc>
      </w:tr>
      <w:tr>
        <w:tc>
          <w:tcPr>
            <w:tcW w:type="dxa" w:w="2160"/>
            <w:shd w:fill="FFFFFF"/>
            <w:tcMar>
              <w:top w:w="120" w:type="dxa"/>
              <w:bottom w:w="120" w:type="dxa"/>
              <w:left w:w="180" w:type="dxa"/>
              <w:right w:w="180" w:type="dxa"/>
            </w:tcMar>
          </w:tcPr>
          <w:p>
            <w:r>
              <w:rPr>
                <w:rFonts w:ascii="Calibri" w:hAnsi="Calibri"/>
                <w:color w:val="2D3748"/>
                <w:sz w:val="19"/>
              </w:rPr>
              <w:t>Section 4(c)(4)</w:t>
            </w:r>
          </w:p>
        </w:tc>
        <w:tc>
          <w:tcPr>
            <w:tcW w:type="dxa" w:w="2592"/>
            <w:shd w:fill="FFFFFF"/>
            <w:tcMar>
              <w:top w:w="120" w:type="dxa"/>
              <w:bottom w:w="120" w:type="dxa"/>
              <w:left w:w="180" w:type="dxa"/>
              <w:right w:w="180" w:type="dxa"/>
            </w:tcMar>
          </w:tcPr>
          <w:p>
            <w:r>
              <w:rPr>
                <w:rFonts w:ascii="Calibri" w:hAnsi="Calibri"/>
                <w:color w:val="2D3748"/>
                <w:sz w:val="19"/>
              </w:rPr>
              <w:t>Cyberlibel</w:t>
            </w:r>
          </w:p>
        </w:tc>
        <w:tc>
          <w:tcPr>
            <w:tcW w:type="dxa" w:w="2592"/>
            <w:shd w:fill="FFFFFF"/>
            <w:tcMar>
              <w:top w:w="120" w:type="dxa"/>
              <w:bottom w:w="120" w:type="dxa"/>
              <w:left w:w="180" w:type="dxa"/>
              <w:right w:w="180" w:type="dxa"/>
            </w:tcMar>
          </w:tcPr>
          <w:p>
            <w:r>
              <w:rPr>
                <w:rFonts w:ascii="Calibri" w:hAnsi="Calibri"/>
                <w:color w:val="2D3748"/>
                <w:sz w:val="19"/>
              </w:rPr>
              <w:t>Defamation committed via electronic media</w:t>
            </w:r>
          </w:p>
        </w:tc>
        <w:tc>
          <w:tcPr>
            <w:tcW w:type="dxa" w:w="2016"/>
            <w:shd w:fill="FFFFFF"/>
            <w:tcMar>
              <w:top w:w="120" w:type="dxa"/>
              <w:bottom w:w="120" w:type="dxa"/>
              <w:left w:w="180" w:type="dxa"/>
              <w:right w:w="180" w:type="dxa"/>
            </w:tcMar>
          </w:tcPr>
          <w:p>
            <w:r>
              <w:rPr>
                <w:rFonts w:ascii="Calibri" w:hAnsi="Calibri"/>
                <w:color w:val="2D3748"/>
                <w:sz w:val="19"/>
              </w:rPr>
              <w:t>Prision correccional max to prision mayor</w:t>
            </w:r>
          </w:p>
        </w:tc>
      </w:tr>
      <w:tr>
        <w:tc>
          <w:tcPr>
            <w:tcW w:type="dxa" w:w="2160"/>
            <w:shd w:fill="FEF2F2"/>
            <w:tcMar>
              <w:top w:w="120" w:type="dxa"/>
              <w:bottom w:w="120" w:type="dxa"/>
              <w:left w:w="180" w:type="dxa"/>
              <w:right w:w="180" w:type="dxa"/>
            </w:tcMar>
          </w:tcPr>
          <w:p>
            <w:r>
              <w:rPr>
                <w:rFonts w:ascii="Calibri" w:hAnsi="Calibri"/>
                <w:color w:val="2D3748"/>
                <w:sz w:val="19"/>
              </w:rPr>
              <w:t>Section 6</w:t>
            </w:r>
          </w:p>
        </w:tc>
        <w:tc>
          <w:tcPr>
            <w:tcW w:type="dxa" w:w="2592"/>
            <w:shd w:fill="FEF2F2"/>
            <w:tcMar>
              <w:top w:w="120" w:type="dxa"/>
              <w:bottom w:w="120" w:type="dxa"/>
              <w:left w:w="180" w:type="dxa"/>
              <w:right w:w="180" w:type="dxa"/>
            </w:tcMar>
          </w:tcPr>
          <w:p>
            <w:r>
              <w:rPr>
                <w:rFonts w:ascii="Calibri" w:hAnsi="Calibri"/>
                <w:color w:val="2D3748"/>
                <w:sz w:val="19"/>
              </w:rPr>
              <w:t>ICT Aggravation</w:t>
            </w:r>
          </w:p>
        </w:tc>
        <w:tc>
          <w:tcPr>
            <w:tcW w:type="dxa" w:w="2592"/>
            <w:shd w:fill="FEF2F2"/>
            <w:tcMar>
              <w:top w:w="120" w:type="dxa"/>
              <w:bottom w:w="120" w:type="dxa"/>
              <w:left w:w="180" w:type="dxa"/>
              <w:right w:w="180" w:type="dxa"/>
            </w:tcMar>
          </w:tcPr>
          <w:p>
            <w:r>
              <w:rPr>
                <w:rFonts w:ascii="Calibri" w:hAnsi="Calibri"/>
                <w:color w:val="2D3748"/>
                <w:sz w:val="19"/>
              </w:rPr>
              <w:t>Applicable to Revised Penal Code crimes</w:t>
            </w:r>
          </w:p>
        </w:tc>
        <w:tc>
          <w:tcPr>
            <w:tcW w:type="dxa" w:w="2016"/>
            <w:shd w:fill="FEF2F2"/>
            <w:tcMar>
              <w:top w:w="120" w:type="dxa"/>
              <w:bottom w:w="120" w:type="dxa"/>
              <w:left w:w="180" w:type="dxa"/>
              <w:right w:w="180" w:type="dxa"/>
            </w:tcMar>
          </w:tcPr>
          <w:p>
            <w:r>
              <w:rPr>
                <w:rFonts w:ascii="Calibri" w:hAnsi="Calibri"/>
                <w:color w:val="2D3748"/>
                <w:sz w:val="19"/>
              </w:rPr>
              <w:t>One degree higher penalty</w:t>
            </w:r>
          </w:p>
        </w:tc>
      </w:tr>
    </w:tbl>
    <w:p>
      <w:pPr>
        <w:keepNext/>
        <w:spacing w:before="360" w:after="120"/>
      </w:pPr>
      <w:r>
        <w:rPr>
          <w:rFonts w:ascii="Calibri" w:hAnsi="Calibri"/>
          <w:b/>
          <w:color w:val="991B1B"/>
          <w:sz w:val="32"/>
        </w:rPr>
        <w:t>3. Campus Case Study: Online Harassment and Financial Phishing</w:t>
      </w:r>
    </w:p>
    <w:p>
      <w:pPr>
        <w:spacing w:before="0" w:after="140" w:line="276" w:lineRule="auto"/>
      </w:pPr>
      <w:r>
        <w:rPr>
          <w:rFonts w:ascii="Calibri" w:hAnsi="Calibri"/>
          <w:color w:val="2D3748"/>
          <w:sz w:val="22"/>
        </w:rPr>
        <w:t>During recent academic terms, higher education institutions witnessed a sharp increase in unauthorized student account takeovers and digital scholarship phishing scams. Attackers deployed spoofed university portals to extract single sign-on credentials and redirect stipend allowances.</w:t>
      </w:r>
    </w:p>
    <w:p>
      <w:pPr>
        <w:spacing w:before="0" w:after="140" w:line="276" w:lineRule="auto"/>
      </w:pPr>
      <w:r>
        <w:rPr>
          <w:rFonts w:ascii="Calibri" w:hAnsi="Calibri"/>
          <w:color w:val="2D3748"/>
          <w:sz w:val="22"/>
        </w:rPr>
        <w:t>Simultaneously, student confession pages hosted on social platforms have occasionally crossed into targeted cyberbullying and unverified defamatory exposes. In several documented regional incidents, affected students sought legal remedies under Section 4(c)(4), illustrating the urgent necessity for proactive campus legal awareness.</w:t>
      </w:r>
    </w:p>
    <w:p>
      <w:pPr>
        <w:keepNext/>
        <w:spacing w:before="360" w:after="120"/>
      </w:pPr>
      <w:r>
        <w:rPr>
          <w:rFonts w:ascii="Calibri" w:hAnsi="Calibri"/>
          <w:b/>
          <w:color w:val="991B1B"/>
          <w:sz w:val="32"/>
        </w:rPr>
        <w:t>4. International Harmonization and the Budapest Convention</w:t>
      </w:r>
    </w:p>
    <w:p>
      <w:pPr>
        <w:spacing w:before="0" w:after="140" w:line="276" w:lineRule="auto"/>
      </w:pPr>
      <w:r>
        <w:rPr>
          <w:rFonts w:ascii="Calibri" w:hAnsi="Calibri"/>
          <w:color w:val="2D3748"/>
          <w:sz w:val="22"/>
        </w:rPr>
        <w:t>The Philippines formally acceded to the Budapest Convention on Cybercrime in 2018. This multilateral treaty enhances mutual legal assistance treaties (MLAT), enabling domestic law enforcement to request expedited preservation of stored computer data from foreign cloud hosting providers.</w:t>
      </w:r>
    </w:p>
    <w:p>
      <w:pPr>
        <w:keepNext/>
        <w:spacing w:before="360" w:after="120"/>
      </w:pPr>
      <w:r>
        <w:rPr>
          <w:rFonts w:ascii="Calibri" w:hAnsi="Calibri"/>
          <w:b/>
          <w:color w:val="991B1B"/>
          <w:sz w:val="32"/>
        </w:rPr>
        <w:t>5. Risk Mitigation and Institutional Recommendations</w:t>
      </w:r>
    </w:p>
    <w:p>
      <w:pPr>
        <w:spacing w:before="0" w:after="140" w:line="276" w:lineRule="auto"/>
      </w:pPr>
      <w:r>
        <w:rPr>
          <w:rFonts w:ascii="Calibri" w:hAnsi="Calibri"/>
          <w:color w:val="2D3748"/>
          <w:sz w:val="22"/>
        </w:rPr>
        <w:t>To ensure student safety and institutional compliance, universities must implement multi-factor authentication (MFA) across all academic portals. Furthermore, student handbooks must incorporate explicit guidelines on digital ethics, distinguishing fair student critique from cyberlibel infractions.</w:t>
      </w:r>
    </w:p>
    <w:p>
      <w:pPr>
        <w:spacing w:before="0" w:after="140" w:line="276" w:lineRule="auto"/>
      </w:pPr>
      <w:r>
        <w:rPr>
          <w:rFonts w:ascii="Calibri" w:hAnsi="Calibri"/>
          <w:color w:val="2D3748"/>
          <w:sz w:val="22"/>
        </w:rPr>
        <w:t>Universities should also establish dedicated Student Cyber Safety desks in partnership with guidance counselors to mediate digital conflicts prior to criminal escalation.</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180" w:type="dxa"/>
              <w:right w:w="180" w:type="dxa"/>
            </w:tcMar>
          </w:tcPr>
          <w:p>
            <w:pPr>
              <w:spacing w:after="40"/>
            </w:pPr>
            <w:r>
              <w:rPr>
                <w:rFonts w:ascii="Calibri" w:hAnsi="Calibri"/>
                <w:b/>
                <w:color w:val="1E3A8A"/>
                <w:sz w:val="20"/>
              </w:rPr>
              <w:t xml:space="preserve">MANDATORY LEGAL DISCLAIMER: </w:t>
            </w:r>
            <w:r>
              <w:rPr>
                <w:rFonts w:ascii="Calibri" w:hAnsi="Calibri"/>
                <w:color w:val="1E293B"/>
                <w:sz w:val="20"/>
              </w:rPr>
              <w:t>Research aid only. Confirm every case and statutory provision in the Supreme Court e-Library or LawPhil before submitting formal legal briefs.</w:t>
            </w:r>
          </w:p>
        </w:tc>
      </w:tr>
    </w:tbl>
    <w:p>
      <w:pPr>
        <w:spacing w:after="80"/>
      </w:pPr>
    </w:p>
    <w:p>
      <w:pPr>
        <w:keepNext/>
        <w:spacing w:before="360" w:after="120"/>
      </w:pPr>
      <w:r>
        <w:rPr>
          <w:rFonts w:ascii="Calibri" w:hAnsi="Calibri"/>
          <w:b/>
          <w:color w:val="991B1B"/>
          <w:sz w:val="32"/>
        </w:rPr>
        <w:t>References</w:t>
      </w:r>
    </w:p>
    <w:p>
      <w:pPr>
        <w:spacing w:after="120"/>
        <w:ind w:left="720" w:hanging="720"/>
      </w:pPr>
      <w:r>
        <w:rPr>
          <w:rFonts w:ascii="Calibri" w:hAnsi="Calibri"/>
          <w:sz w:val="20"/>
        </w:rPr>
        <w:t>Council of Europe. (2001). Convention on cybercrime (ETS No. 185). Budapest: Council of Europe Treaty Series.</w:t>
      </w:r>
    </w:p>
    <w:p>
      <w:pPr>
        <w:spacing w:after="120"/>
        <w:ind w:left="720" w:hanging="720"/>
      </w:pPr>
      <w:r>
        <w:rPr>
          <w:rFonts w:ascii="Calibri" w:hAnsi="Calibri"/>
          <w:sz w:val="20"/>
        </w:rPr>
        <w:t>Department of Justice. (2015). Implementing rules and regulations of Republic Act No. 10175. Manila: Office of Cybercrime.</w:t>
      </w:r>
    </w:p>
    <w:p>
      <w:pPr>
        <w:spacing w:after="120"/>
        <w:ind w:left="720" w:hanging="720"/>
      </w:pPr>
      <w:r>
        <w:rPr>
          <w:rFonts w:ascii="Calibri" w:hAnsi="Calibri"/>
          <w:sz w:val="20"/>
        </w:rPr>
        <w:t>Disini v. Secretary of Justice, G.R. No. 203335, 723 Phil. 633 (Supreme Court of the Philippines, February 18, 2014).</w:t>
      </w:r>
    </w:p>
    <w:p>
      <w:pPr>
        <w:spacing w:after="120"/>
        <w:ind w:left="720" w:hanging="720"/>
      </w:pPr>
      <w:r>
        <w:rPr>
          <w:rFonts w:ascii="Calibri" w:hAnsi="Calibri"/>
          <w:sz w:val="20"/>
        </w:rPr>
        <w:t>National Bureau of Investigation. (2023). Annual cyber threat assessment and enforcement statistics. Department of Justice Philippines.</w:t>
      </w:r>
    </w:p>
    <w:p>
      <w:pPr>
        <w:spacing w:after="120"/>
        <w:ind w:left="720" w:hanging="720"/>
      </w:pPr>
      <w:r>
        <w:rPr>
          <w:rFonts w:ascii="Calibri" w:hAnsi="Calibri"/>
          <w:sz w:val="20"/>
        </w:rPr>
        <w:t>Republic of the Philippines. (2012). Republic Act No. 10175: Cybercrime Prevention Act of 2012. Official Gazette of the Republic of the Philippines.</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STI West Negros University  •  Jhon Paulo Gascon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Case Study: RA 10175 Cybercrime &amp; Online Safety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