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jc w:val="center"/>
      </w:pPr>
      <w:r>
        <w:rPr>
          <w:rFonts w:ascii="Calibri" w:hAnsi="Calibri"/>
          <w:b/>
          <w:color w:val="4A5568"/>
          <w:sz w:val="24"/>
        </w:rPr>
        <w:t>STI WEST NEGROS UNIVERSITY</w:t>
      </w:r>
    </w:p>
    <w:p>
      <w:pPr>
        <w:spacing w:after="1440"/>
        <w:jc w:val="center"/>
      </w:pPr>
      <w:r>
        <w:rPr>
          <w:rFonts w:ascii="Calibri" w:hAnsi="Calibri"/>
          <w:color w:val="718096"/>
          <w:sz w:val="20"/>
        </w:rPr>
        <w:t>College of Information and Communications Technology</w:t>
      </w:r>
    </w:p>
    <w:p>
      <w:pPr>
        <w:spacing w:after="280"/>
        <w:jc w:val="center"/>
      </w:pPr>
      <w:r>
        <w:rPr>
          <w:rFonts w:ascii="Calibri" w:hAnsi="Calibri"/>
          <w:b/>
          <w:color w:val="134E4A"/>
          <w:sz w:val="48"/>
        </w:rPr>
        <w:t>Internship Narrative Report: IT Infrastructure Support and Systems Deployment</w:t>
      </w:r>
    </w:p>
    <w:p>
      <w:pPr>
        <w:spacing w:after="320"/>
        <w:jc w:val="center"/>
      </w:pPr>
      <w:r>
        <w:rPr>
          <w:color w:val="134E4A"/>
          <w:sz w:val="20"/>
        </w:rPr>
        <w:t>————————————————————————————</w:t>
      </w:r>
    </w:p>
    <w:p>
      <w:pPr>
        <w:spacing w:after="2800"/>
        <w:jc w:val="center"/>
      </w:pPr>
      <w:r>
        <w:rPr>
          <w:rFonts w:ascii="Calibri" w:hAnsi="Calibri"/>
          <w:i/>
          <w:color w:val="4A5568"/>
          <w:sz w:val="26"/>
        </w:rPr>
        <w:t>A 480-Hour On-the-Job Training Practicum Narrative for Bachelor of Science in Information Technology</w:t>
      </w:r>
    </w:p>
    <w:p>
      <w:pPr>
        <w:spacing w:line="312" w:lineRule="auto" w:after="400"/>
        <w:jc w:val="center"/>
      </w:pPr>
      <w:r>
        <w:rPr>
          <w:rFonts w:ascii="Calibri" w:hAnsi="Calibri"/>
          <w:color w:val="718096"/>
          <w:sz w:val="20"/>
        </w:rPr>
        <w:t>Final Practicum Narrative Report</w:t>
        <w:br/>
        <w:t>Presented by:</w:t>
        <w:br/>
      </w:r>
      <w:r>
        <w:rPr>
          <w:rFonts w:ascii="Calibri" w:hAnsi="Calibri"/>
          <w:b/>
          <w:color w:val="134E4A"/>
          <w:sz w:val="26"/>
        </w:rPr>
        <w:t>JHON PAULO V. GASCON</w:t>
        <w:br/>
      </w:r>
      <w:r>
        <w:rPr>
          <w:rFonts w:ascii="Calibri" w:hAnsi="Calibri"/>
          <w:color w:val="4A5568"/>
          <w:sz w:val="20"/>
        </w:rPr>
        <w:t>Bachelor of Science in Information Technology (BSIT)</w:t>
        <w:br/>
        <w:t>Bacolod City, Philippines</w:t>
        <w:br/>
        <w:t>October 2026</w:t>
      </w:r>
    </w:p>
    <w:p>
      <w:r>
        <w:br w:type="page"/>
      </w:r>
    </w:p>
    <w:p>
      <w:pPr>
        <w:sectPr>
          <w:headerReference w:type="default" r:id="rId9"/>
          <w:footerReference w:type="default" r:id="rId10"/>
          <w:pgSz w:w="12240" w:h="15840"/>
          <w:pgMar w:top="1440" w:right="1440" w:bottom="1440" w:left="1440" w:header="720" w:footer="720" w:gutter="0"/>
          <w:cols w:space="720"/>
          <w:titlePg/>
          <w:docGrid w:linePitch="360"/>
        </w:sectPr>
      </w:pPr>
    </w:p>
    <w:p>
      <w:pPr>
        <w:keepNext/>
        <w:spacing w:before="360" w:after="120"/>
      </w:pPr>
      <w:r>
        <w:rPr>
          <w:rFonts w:ascii="Calibri" w:hAnsi="Calibri"/>
          <w:b/>
          <w:color w:val="134E4A"/>
          <w:sz w:val="32"/>
        </w:rPr>
        <w:t>Acknowledgments</w:t>
      </w:r>
    </w:p>
    <w:p>
      <w:pPr>
        <w:spacing w:before="0" w:after="140" w:line="276" w:lineRule="auto"/>
      </w:pPr>
      <w:r>
        <w:rPr>
          <w:rFonts w:ascii="Calibri" w:hAnsi="Calibri"/>
          <w:color w:val="2D3748"/>
          <w:sz w:val="22"/>
        </w:rPr>
        <w:t>I extend my sincerest gratitude to Almighty God for the perseverance, wisdom, and health granted throughout this practicum journey. My heartfelt appreciation goes to the academic leadership and faculty of STI West Negros University for imparting essential foundational knowledge in software engineering, database administration, and professional ethics.</w:t>
      </w:r>
    </w:p>
    <w:p>
      <w:pPr>
        <w:spacing w:before="0" w:after="140" w:line="276" w:lineRule="auto"/>
      </w:pPr>
      <w:r>
        <w:rPr>
          <w:rFonts w:ascii="Calibri" w:hAnsi="Calibri"/>
          <w:color w:val="2D3748"/>
          <w:sz w:val="22"/>
        </w:rPr>
        <w:t>Special recognition is offered to Horizon Tech Solutions Inc. for welcoming me into their Systems Engineering division, providing invaluable industry mentorship, and trusting me with real-world enterprise infrastructure responsibilities.</w:t>
      </w:r>
    </w:p>
    <w:p>
      <w:pPr>
        <w:keepNext/>
        <w:spacing w:before="360" w:after="120"/>
      </w:pPr>
      <w:r>
        <w:rPr>
          <w:rFonts w:ascii="Calibri" w:hAnsi="Calibri"/>
          <w:b/>
          <w:color w:val="134E4A"/>
          <w:sz w:val="32"/>
        </w:rPr>
        <w:t>1. Company Profile and Host Establishment</w:t>
      </w:r>
    </w:p>
    <w:p>
      <w:pPr>
        <w:spacing w:before="0" w:after="140" w:line="276" w:lineRule="auto"/>
      </w:pPr>
      <w:r>
        <w:rPr>
          <w:rFonts w:ascii="Calibri" w:hAnsi="Calibri"/>
          <w:color w:val="2D3748"/>
          <w:sz w:val="22"/>
        </w:rPr>
        <w:t>Horizon Tech Solutions Inc., established in 2018 in Bacolod City, is an enterprise managed service provider (MSP) specializing in cloud migrations, network administration, and custom enterprise web portals. As an intern, I was assigned to the Tier 2 Systems and Network Administration squad.</w:t>
      </w:r>
    </w:p>
    <w:p>
      <w:pPr>
        <w:spacing w:before="0" w:after="140" w:line="276" w:lineRule="auto"/>
      </w:pPr>
      <w:r>
        <w:rPr>
          <w:rFonts w:ascii="Calibri" w:hAnsi="Calibri"/>
          <w:color w:val="2D3748"/>
          <w:sz w:val="22"/>
        </w:rPr>
        <w:t>The department manages hybrid infrastructure comprising on-premises Linux virtualization hosts and cloud-hosted database clusters serving educational and commercial clients throughout Western Visayas.</w:t>
      </w:r>
    </w:p>
    <w:p>
      <w:pPr>
        <w:keepNext/>
        <w:spacing w:before="360" w:after="120"/>
      </w:pPr>
      <w:r>
        <w:rPr>
          <w:rFonts w:ascii="Calibri" w:hAnsi="Calibri"/>
          <w:b/>
          <w:color w:val="134E4A"/>
          <w:sz w:val="32"/>
        </w:rPr>
        <w:t>2. Summary of Weekly Accomplishments</w:t>
      </w:r>
    </w:p>
    <w:p>
      <w:pPr>
        <w:spacing w:before="0" w:after="140" w:line="276" w:lineRule="auto"/>
      </w:pPr>
      <w:r>
        <w:rPr>
          <w:rFonts w:ascii="Calibri" w:hAnsi="Calibri"/>
          <w:color w:val="2D3748"/>
          <w:sz w:val="22"/>
        </w:rPr>
        <w:t>Over the 480-hour practicum duration, technical responsibilities advanced from initial hardware diagnostics to autonomous server maintenance and database migrations.</w:t>
      </w:r>
    </w:p>
    <w:p>
      <w:pPr>
        <w:spacing w:before="160" w:after="80"/>
      </w:pPr>
      <w:r>
        <w:rPr>
          <w:b/>
          <w:sz w:val="20"/>
        </w:rPr>
        <w:t>Table 1. 10-Week Practicum Milestone and Technical Activity Log</w:t>
      </w:r>
    </w:p>
    <w:tbl>
      <w:tblPr>
        <w:tblW w:type="auto" w:w="0"/>
        <w:jc w:val="center"/>
        <w:tblLook w:firstColumn="1" w:firstRow="1" w:lastColumn="0" w:lastRow="0" w:noHBand="0" w:noVBand="1" w:val="04A0"/>
      </w:tblPr>
      <w:tblGrid>
        <w:gridCol w:w="3120"/>
        <w:gridCol w:w="3120"/>
        <w:gridCol w:w="3120"/>
      </w:tblGrid>
      <w:tr>
        <w:tc>
          <w:tcPr>
            <w:tcW w:type="dxa" w:w="2592"/>
            <w:shd w:fill="134E4A"/>
            <w:tcMar>
              <w:top w:w="140" w:type="dxa"/>
              <w:bottom w:w="140" w:type="dxa"/>
              <w:left w:w="180" w:type="dxa"/>
              <w:right w:w="180" w:type="dxa"/>
            </w:tcMar>
          </w:tcPr>
          <w:p>
            <w:pPr>
              <w:jc w:val="left"/>
            </w:pPr>
            <w:r>
              <w:rPr>
                <w:rFonts w:ascii="Calibri" w:hAnsi="Calibri"/>
                <w:b/>
                <w:color w:val="FFFFFF"/>
                <w:sz w:val="20"/>
              </w:rPr>
              <w:t>Practicum Phase</w:t>
            </w:r>
          </w:p>
        </w:tc>
        <w:tc>
          <w:tcPr>
            <w:tcW w:type="dxa" w:w="3888"/>
            <w:shd w:fill="134E4A"/>
            <w:tcMar>
              <w:top w:w="140" w:type="dxa"/>
              <w:bottom w:w="140" w:type="dxa"/>
              <w:left w:w="180" w:type="dxa"/>
              <w:right w:w="180" w:type="dxa"/>
            </w:tcMar>
          </w:tcPr>
          <w:p>
            <w:pPr>
              <w:jc w:val="left"/>
            </w:pPr>
            <w:r>
              <w:rPr>
                <w:rFonts w:ascii="Calibri" w:hAnsi="Calibri"/>
                <w:b/>
                <w:color w:val="FFFFFF"/>
                <w:sz w:val="20"/>
              </w:rPr>
              <w:t>Assigned Technical Tasks</w:t>
            </w:r>
          </w:p>
        </w:tc>
        <w:tc>
          <w:tcPr>
            <w:tcW w:type="dxa" w:w="2880"/>
            <w:shd w:fill="134E4A"/>
            <w:tcMar>
              <w:top w:w="140" w:type="dxa"/>
              <w:bottom w:w="140" w:type="dxa"/>
              <w:left w:w="180" w:type="dxa"/>
              <w:right w:w="180" w:type="dxa"/>
            </w:tcMar>
          </w:tcPr>
          <w:p>
            <w:pPr>
              <w:jc w:val="left"/>
            </w:pPr>
            <w:r>
              <w:rPr>
                <w:rFonts w:ascii="Calibri" w:hAnsi="Calibri"/>
                <w:b/>
                <w:color w:val="FFFFFF"/>
                <w:sz w:val="20"/>
              </w:rPr>
              <w:t>Core Competencies Mastered</w:t>
            </w:r>
          </w:p>
        </w:tc>
      </w:tr>
      <w:tr>
        <w:tc>
          <w:tcPr>
            <w:tcW w:type="dxa" w:w="2592"/>
            <w:shd w:fill="FFFFFF"/>
            <w:tcMar>
              <w:top w:w="120" w:type="dxa"/>
              <w:bottom w:w="120" w:type="dxa"/>
              <w:left w:w="180" w:type="dxa"/>
              <w:right w:w="180" w:type="dxa"/>
            </w:tcMar>
          </w:tcPr>
          <w:p>
            <w:r>
              <w:rPr>
                <w:rFonts w:ascii="Calibri" w:hAnsi="Calibri"/>
                <w:color w:val="2D3748"/>
                <w:sz w:val="19"/>
              </w:rPr>
              <w:t>Weeks 1–2: Orientation</w:t>
            </w:r>
          </w:p>
        </w:tc>
        <w:tc>
          <w:tcPr>
            <w:tcW w:type="dxa" w:w="3888"/>
            <w:shd w:fill="FFFFFF"/>
            <w:tcMar>
              <w:top w:w="120" w:type="dxa"/>
              <w:bottom w:w="120" w:type="dxa"/>
              <w:left w:w="180" w:type="dxa"/>
              <w:right w:w="180" w:type="dxa"/>
            </w:tcMar>
          </w:tcPr>
          <w:p>
            <w:r>
              <w:rPr>
                <w:rFonts w:ascii="Calibri" w:hAnsi="Calibri"/>
                <w:color w:val="2D3748"/>
                <w:sz w:val="19"/>
              </w:rPr>
              <w:t>Workstation imaging, Active Directory user provisioning</w:t>
            </w:r>
          </w:p>
        </w:tc>
        <w:tc>
          <w:tcPr>
            <w:tcW w:type="dxa" w:w="2880"/>
            <w:shd w:fill="FFFFFF"/>
            <w:tcMar>
              <w:top w:w="120" w:type="dxa"/>
              <w:bottom w:w="120" w:type="dxa"/>
              <w:left w:w="180" w:type="dxa"/>
              <w:right w:w="180" w:type="dxa"/>
            </w:tcMar>
          </w:tcPr>
          <w:p>
            <w:r>
              <w:rPr>
                <w:rFonts w:ascii="Calibri" w:hAnsi="Calibri"/>
                <w:color w:val="2D3748"/>
                <w:sz w:val="19"/>
              </w:rPr>
              <w:t>Windows Server AD, Sysprep, Cat6 cabling</w:t>
            </w:r>
          </w:p>
        </w:tc>
      </w:tr>
      <w:tr>
        <w:tc>
          <w:tcPr>
            <w:tcW w:type="dxa" w:w="2592"/>
            <w:shd w:fill="F0FDFA"/>
            <w:tcMar>
              <w:top w:w="120" w:type="dxa"/>
              <w:bottom w:w="120" w:type="dxa"/>
              <w:left w:w="180" w:type="dxa"/>
              <w:right w:w="180" w:type="dxa"/>
            </w:tcMar>
          </w:tcPr>
          <w:p>
            <w:r>
              <w:rPr>
                <w:rFonts w:ascii="Calibri" w:hAnsi="Calibri"/>
                <w:color w:val="2D3748"/>
                <w:sz w:val="19"/>
              </w:rPr>
              <w:t>Weeks 3–4: Infrastructure</w:t>
            </w:r>
          </w:p>
        </w:tc>
        <w:tc>
          <w:tcPr>
            <w:tcW w:type="dxa" w:w="3888"/>
            <w:shd w:fill="F0FDFA"/>
            <w:tcMar>
              <w:top w:w="120" w:type="dxa"/>
              <w:bottom w:w="120" w:type="dxa"/>
              <w:left w:w="180" w:type="dxa"/>
              <w:right w:w="180" w:type="dxa"/>
            </w:tcMar>
          </w:tcPr>
          <w:p>
            <w:r>
              <w:rPr>
                <w:rFonts w:ascii="Calibri" w:hAnsi="Calibri"/>
                <w:color w:val="2D3748"/>
                <w:sz w:val="19"/>
              </w:rPr>
              <w:t>VLAN configuration, managed switch deployments</w:t>
            </w:r>
          </w:p>
        </w:tc>
        <w:tc>
          <w:tcPr>
            <w:tcW w:type="dxa" w:w="2880"/>
            <w:shd w:fill="F0FDFA"/>
            <w:tcMar>
              <w:top w:w="120" w:type="dxa"/>
              <w:bottom w:w="120" w:type="dxa"/>
              <w:left w:w="180" w:type="dxa"/>
              <w:right w:w="180" w:type="dxa"/>
            </w:tcMar>
          </w:tcPr>
          <w:p>
            <w:r>
              <w:rPr>
                <w:rFonts w:ascii="Calibri" w:hAnsi="Calibri"/>
                <w:color w:val="2D3748"/>
                <w:sz w:val="19"/>
              </w:rPr>
              <w:t>Cisco IOS commands, Subnetting, QoS rules</w:t>
            </w:r>
          </w:p>
        </w:tc>
      </w:tr>
      <w:tr>
        <w:tc>
          <w:tcPr>
            <w:tcW w:type="dxa" w:w="2592"/>
            <w:shd w:fill="FFFFFF"/>
            <w:tcMar>
              <w:top w:w="120" w:type="dxa"/>
              <w:bottom w:w="120" w:type="dxa"/>
              <w:left w:w="180" w:type="dxa"/>
              <w:right w:w="180" w:type="dxa"/>
            </w:tcMar>
          </w:tcPr>
          <w:p>
            <w:r>
              <w:rPr>
                <w:rFonts w:ascii="Calibri" w:hAnsi="Calibri"/>
                <w:color w:val="2D3748"/>
                <w:sz w:val="19"/>
              </w:rPr>
              <w:t>Weeks 5–6: Web Services</w:t>
            </w:r>
          </w:p>
        </w:tc>
        <w:tc>
          <w:tcPr>
            <w:tcW w:type="dxa" w:w="3888"/>
            <w:shd w:fill="FFFFFF"/>
            <w:tcMar>
              <w:top w:w="120" w:type="dxa"/>
              <w:bottom w:w="120" w:type="dxa"/>
              <w:left w:w="180" w:type="dxa"/>
              <w:right w:w="180" w:type="dxa"/>
            </w:tcMar>
          </w:tcPr>
          <w:p>
            <w:r>
              <w:rPr>
                <w:rFonts w:ascii="Calibri" w:hAnsi="Calibri"/>
                <w:color w:val="2D3748"/>
                <w:sz w:val="19"/>
              </w:rPr>
              <w:t>Linux server updates, Nginx reverse proxy configuration</w:t>
            </w:r>
          </w:p>
        </w:tc>
        <w:tc>
          <w:tcPr>
            <w:tcW w:type="dxa" w:w="2880"/>
            <w:shd w:fill="FFFFFF"/>
            <w:tcMar>
              <w:top w:w="120" w:type="dxa"/>
              <w:bottom w:w="120" w:type="dxa"/>
              <w:left w:w="180" w:type="dxa"/>
              <w:right w:w="180" w:type="dxa"/>
            </w:tcMar>
          </w:tcPr>
          <w:p>
            <w:r>
              <w:rPr>
                <w:rFonts w:ascii="Calibri" w:hAnsi="Calibri"/>
                <w:color w:val="2D3748"/>
                <w:sz w:val="19"/>
              </w:rPr>
              <w:t>Ubuntu Server, SSL Certbot, Bash scripting</w:t>
            </w:r>
          </w:p>
        </w:tc>
      </w:tr>
      <w:tr>
        <w:tc>
          <w:tcPr>
            <w:tcW w:type="dxa" w:w="2592"/>
            <w:shd w:fill="F0FDFA"/>
            <w:tcMar>
              <w:top w:w="120" w:type="dxa"/>
              <w:bottom w:w="120" w:type="dxa"/>
              <w:left w:w="180" w:type="dxa"/>
              <w:right w:w="180" w:type="dxa"/>
            </w:tcMar>
          </w:tcPr>
          <w:p>
            <w:r>
              <w:rPr>
                <w:rFonts w:ascii="Calibri" w:hAnsi="Calibri"/>
                <w:color w:val="2D3748"/>
                <w:sz w:val="19"/>
              </w:rPr>
              <w:t>Weeks 7–8: Database Ops</w:t>
            </w:r>
          </w:p>
        </w:tc>
        <w:tc>
          <w:tcPr>
            <w:tcW w:type="dxa" w:w="3888"/>
            <w:shd w:fill="F0FDFA"/>
            <w:tcMar>
              <w:top w:w="120" w:type="dxa"/>
              <w:bottom w:w="120" w:type="dxa"/>
              <w:left w:w="180" w:type="dxa"/>
              <w:right w:w="180" w:type="dxa"/>
            </w:tcMar>
          </w:tcPr>
          <w:p>
            <w:r>
              <w:rPr>
                <w:rFonts w:ascii="Calibri" w:hAnsi="Calibri"/>
                <w:color w:val="2D3748"/>
                <w:sz w:val="19"/>
              </w:rPr>
              <w:t>PostgreSQL automated backup scripts, query tuning</w:t>
            </w:r>
          </w:p>
        </w:tc>
        <w:tc>
          <w:tcPr>
            <w:tcW w:type="dxa" w:w="2880"/>
            <w:shd w:fill="F0FDFA"/>
            <w:tcMar>
              <w:top w:w="120" w:type="dxa"/>
              <w:bottom w:w="120" w:type="dxa"/>
              <w:left w:w="180" w:type="dxa"/>
              <w:right w:w="180" w:type="dxa"/>
            </w:tcMar>
          </w:tcPr>
          <w:p>
            <w:r>
              <w:rPr>
                <w:rFonts w:ascii="Calibri" w:hAnsi="Calibri"/>
                <w:color w:val="2D3748"/>
                <w:sz w:val="19"/>
              </w:rPr>
              <w:t>SQL indexing, pg_dump automation, Cron jobs</w:t>
            </w:r>
          </w:p>
        </w:tc>
      </w:tr>
      <w:tr>
        <w:tc>
          <w:tcPr>
            <w:tcW w:type="dxa" w:w="2592"/>
            <w:shd w:fill="FFFFFF"/>
            <w:tcMar>
              <w:top w:w="120" w:type="dxa"/>
              <w:bottom w:w="120" w:type="dxa"/>
              <w:left w:w="180" w:type="dxa"/>
              <w:right w:w="180" w:type="dxa"/>
            </w:tcMar>
          </w:tcPr>
          <w:p>
            <w:r>
              <w:rPr>
                <w:rFonts w:ascii="Calibri" w:hAnsi="Calibri"/>
                <w:color w:val="2D3748"/>
                <w:sz w:val="19"/>
              </w:rPr>
              <w:t>Weeks 9–10: Capstone Project</w:t>
            </w:r>
          </w:p>
        </w:tc>
        <w:tc>
          <w:tcPr>
            <w:tcW w:type="dxa" w:w="3888"/>
            <w:shd w:fill="FFFFFF"/>
            <w:tcMar>
              <w:top w:w="120" w:type="dxa"/>
              <w:bottom w:w="120" w:type="dxa"/>
              <w:left w:w="180" w:type="dxa"/>
              <w:right w:w="180" w:type="dxa"/>
            </w:tcMar>
          </w:tcPr>
          <w:p>
            <w:r>
              <w:rPr>
                <w:rFonts w:ascii="Calibri" w:hAnsi="Calibri"/>
                <w:color w:val="2D3748"/>
                <w:sz w:val="19"/>
              </w:rPr>
              <w:t>Internal asset tracking inventory web portal deployment</w:t>
            </w:r>
          </w:p>
        </w:tc>
        <w:tc>
          <w:tcPr>
            <w:tcW w:type="dxa" w:w="2880"/>
            <w:shd w:fill="FFFFFF"/>
            <w:tcMar>
              <w:top w:w="120" w:type="dxa"/>
              <w:bottom w:w="120" w:type="dxa"/>
              <w:left w:w="180" w:type="dxa"/>
              <w:right w:w="180" w:type="dxa"/>
            </w:tcMar>
          </w:tcPr>
          <w:p>
            <w:r>
              <w:rPr>
                <w:rFonts w:ascii="Calibri" w:hAnsi="Calibri"/>
                <w:color w:val="2D3748"/>
                <w:sz w:val="19"/>
              </w:rPr>
              <w:t>HTML/CSS/JS, PHP/MySQL, Docker containers</w:t>
            </w:r>
          </w:p>
        </w:tc>
      </w:tr>
    </w:tbl>
    <w:tbl>
      <w:tblPr>
        <w:tblW w:type="auto" w:w="0"/>
        <w:jc w:val="center"/>
        <w:tblLook w:firstColumn="1" w:firstRow="1" w:lastColumn="0" w:lastRow="0" w:noHBand="0" w:noVBand="1" w:val="04A0"/>
      </w:tblPr>
      <w:tblGrid>
        <w:gridCol w:w="9360"/>
      </w:tblGrid>
      <w:tr>
        <w:tc>
          <w:tcPr>
            <w:tcW w:type="dxa" w:w="9360"/>
            <w:shd w:fill="F0FDFA"/>
            <w:tcMar>
              <w:top w:w="140" w:type="dxa"/>
              <w:bottom w:w="140" w:type="dxa"/>
              <w:left w:w="180" w:type="dxa"/>
              <w:right w:w="180" w:type="dxa"/>
            </w:tcMar>
          </w:tcPr>
          <w:p>
            <w:pPr>
              <w:spacing w:after="40"/>
            </w:pPr>
            <w:r>
              <w:rPr>
                <w:rFonts w:ascii="Calibri" w:hAnsi="Calibri"/>
                <w:b/>
                <w:color w:val="1E3A8A"/>
                <w:sz w:val="20"/>
              </w:rPr>
              <w:t xml:space="preserve">KEY INDUSTRY ACHIEVEMENT: </w:t>
            </w:r>
            <w:r>
              <w:rPr>
                <w:rFonts w:ascii="Calibri" w:hAnsi="Calibri"/>
                <w:color w:val="1E293B"/>
                <w:sz w:val="20"/>
              </w:rPr>
              <w:t>Architected an automated bash backup routine that reduced weekly database maintenance downtime from 45 minutes to under 8 minutes across 6 client instances.</w:t>
            </w:r>
          </w:p>
        </w:tc>
      </w:tr>
    </w:tbl>
    <w:p>
      <w:pPr>
        <w:spacing w:after="80"/>
      </w:pPr>
    </w:p>
    <w:p>
      <w:pPr>
        <w:keepNext/>
        <w:spacing w:before="360" w:after="120"/>
      </w:pPr>
      <w:r>
        <w:rPr>
          <w:rFonts w:ascii="Calibri" w:hAnsi="Calibri"/>
          <w:b/>
          <w:color w:val="134E4A"/>
          <w:sz w:val="32"/>
        </w:rPr>
        <w:t>3. Deep Technical Workflow: Server Hardening &amp; Automation</w:t>
      </w:r>
    </w:p>
    <w:p>
      <w:pPr>
        <w:spacing w:before="0" w:after="140" w:line="276" w:lineRule="auto"/>
      </w:pPr>
      <w:r>
        <w:rPr>
          <w:rFonts w:ascii="Calibri" w:hAnsi="Calibri"/>
          <w:color w:val="2D3748"/>
          <w:sz w:val="22"/>
        </w:rPr>
        <w:t>During Weeks 5 and 6, our team conducted a comprehensive vulnerability audit on enterprise web application servers. I automated SSH key management and disabled root password logins across 14 virtual machines. Furthermore, I authored custom shell scripts configuring UFW firewall rate limits, effectively dampening brute-force authentication attacks.</w:t>
      </w:r>
    </w:p>
    <w:p>
      <w:pPr>
        <w:keepNext/>
        <w:spacing w:before="360" w:after="120"/>
      </w:pPr>
      <w:r>
        <w:rPr>
          <w:rFonts w:ascii="Calibri" w:hAnsi="Calibri"/>
          <w:b/>
          <w:color w:val="134E4A"/>
          <w:sz w:val="32"/>
        </w:rPr>
        <w:t>4. Challenges Encountered and Problem-Solving Strategies</w:t>
      </w:r>
    </w:p>
    <w:p>
      <w:pPr>
        <w:spacing w:before="0" w:after="140" w:line="276" w:lineRule="auto"/>
      </w:pPr>
      <w:r>
        <w:rPr>
          <w:rFonts w:ascii="Calibri" w:hAnsi="Calibri"/>
          <w:color w:val="2D3748"/>
          <w:sz w:val="22"/>
        </w:rPr>
        <w:t>During Week 6, an unannounced SSL certificate expiration interrupted an enterprise customer's public API endpoint. Working under high-pressure live production conditions, I collaborated with senior engineers to troubleshoot DNS challenges, execute Certbot renewals, and establish automated cron job alerts to prevent recurrence.</w:t>
      </w:r>
    </w:p>
    <w:p>
      <w:pPr>
        <w:keepNext/>
        <w:spacing w:before="360" w:after="120"/>
      </w:pPr>
      <w:r>
        <w:rPr>
          <w:rFonts w:ascii="Calibri" w:hAnsi="Calibri"/>
          <w:b/>
          <w:color w:val="134E4A"/>
          <w:sz w:val="32"/>
        </w:rPr>
        <w:t>5. Self-Evaluation, Insights, and Professional Growth</w:t>
      </w:r>
    </w:p>
    <w:p>
      <w:pPr>
        <w:spacing w:before="0" w:after="140" w:line="276" w:lineRule="auto"/>
      </w:pPr>
      <w:r>
        <w:rPr>
          <w:rFonts w:ascii="Calibri" w:hAnsi="Calibri"/>
          <w:color w:val="2D3748"/>
          <w:sz w:val="22"/>
        </w:rPr>
        <w:t>This practicum underscored that academic theory must be paired with operational resilience. Technical ability is only half the battle; transparent communication, meticulous documentation, and calm problem-solving under tight deadlines are what truly distinguish a reliable IT professional.</w:t>
      </w:r>
    </w:p>
    <w:p>
      <w:pPr>
        <w:spacing w:before="0" w:after="140" w:line="276" w:lineRule="auto"/>
      </w:pPr>
      <w:r>
        <w:rPr>
          <w:rFonts w:ascii="Calibri" w:hAnsi="Calibri"/>
          <w:color w:val="2D3748"/>
          <w:sz w:val="22"/>
        </w:rPr>
        <w:t>Moving forward into my final college year, I plan to pursue specialized certifications in Linux Systems Administration and AWS Cloud Solutions.</w:t>
      </w:r>
    </w:p>
    <w:p>
      <w:pPr>
        <w:keepNext/>
        <w:spacing w:before="360" w:after="120"/>
      </w:pPr>
      <w:r>
        <w:rPr>
          <w:rFonts w:ascii="Calibri" w:hAnsi="Calibri"/>
          <w:b/>
          <w:color w:val="134E4A"/>
          <w:sz w:val="32"/>
        </w:rPr>
        <w:t>6. Practicum Competency Assessment Matrix</w:t>
      </w:r>
    </w:p>
    <w:p>
      <w:pPr>
        <w:spacing w:before="160" w:after="80"/>
      </w:pPr>
      <w:r>
        <w:rPr>
          <w:b/>
          <w:sz w:val="20"/>
        </w:rPr>
        <w:t>Table 2. Final Institutional Competency Ratings by Industry Supervisor</w:t>
      </w:r>
    </w:p>
    <w:tbl>
      <w:tblPr>
        <w:tblW w:type="auto" w:w="0"/>
        <w:jc w:val="center"/>
        <w:tblLook w:firstColumn="1" w:firstRow="1" w:lastColumn="0" w:lastRow="0" w:noHBand="0" w:noVBand="1" w:val="04A0"/>
      </w:tblPr>
      <w:tblGrid>
        <w:gridCol w:w="3120"/>
        <w:gridCol w:w="3120"/>
        <w:gridCol w:w="3120"/>
      </w:tblGrid>
      <w:tr>
        <w:tc>
          <w:tcPr>
            <w:tcW w:type="dxa" w:w="3168"/>
            <w:shd w:fill="134E4A"/>
            <w:tcMar>
              <w:top w:w="140" w:type="dxa"/>
              <w:bottom w:w="140" w:type="dxa"/>
              <w:left w:w="180" w:type="dxa"/>
              <w:right w:w="180" w:type="dxa"/>
            </w:tcMar>
          </w:tcPr>
          <w:p>
            <w:pPr>
              <w:jc w:val="left"/>
            </w:pPr>
            <w:r>
              <w:rPr>
                <w:rFonts w:ascii="Calibri" w:hAnsi="Calibri"/>
                <w:b/>
                <w:color w:val="FFFFFF"/>
                <w:sz w:val="20"/>
              </w:rPr>
              <w:t>Core Evaluation Domain</w:t>
            </w:r>
          </w:p>
        </w:tc>
        <w:tc>
          <w:tcPr>
            <w:tcW w:type="dxa" w:w="3888"/>
            <w:shd w:fill="134E4A"/>
            <w:tcMar>
              <w:top w:w="140" w:type="dxa"/>
              <w:bottom w:w="140" w:type="dxa"/>
              <w:left w:w="180" w:type="dxa"/>
              <w:right w:w="180" w:type="dxa"/>
            </w:tcMar>
          </w:tcPr>
          <w:p>
            <w:pPr>
              <w:jc w:val="left"/>
            </w:pPr>
            <w:r>
              <w:rPr>
                <w:rFonts w:ascii="Calibri" w:hAnsi="Calibri"/>
                <w:b/>
                <w:color w:val="FFFFFF"/>
                <w:sz w:val="20"/>
              </w:rPr>
              <w:t>Target Performance Standard</w:t>
            </w:r>
          </w:p>
        </w:tc>
        <w:tc>
          <w:tcPr>
            <w:tcW w:type="dxa" w:w="2304"/>
            <w:shd w:fill="134E4A"/>
            <w:tcMar>
              <w:top w:w="140" w:type="dxa"/>
              <w:bottom w:w="140" w:type="dxa"/>
              <w:left w:w="180" w:type="dxa"/>
              <w:right w:w="180" w:type="dxa"/>
            </w:tcMar>
          </w:tcPr>
          <w:p>
            <w:pPr>
              <w:jc w:val="left"/>
            </w:pPr>
            <w:r>
              <w:rPr>
                <w:rFonts w:ascii="Calibri" w:hAnsi="Calibri"/>
                <w:b/>
                <w:color w:val="FFFFFF"/>
                <w:sz w:val="20"/>
              </w:rPr>
              <w:t>Achieved Supervisor Rating</w:t>
            </w:r>
          </w:p>
        </w:tc>
      </w:tr>
      <w:tr>
        <w:tc>
          <w:tcPr>
            <w:tcW w:type="dxa" w:w="3168"/>
            <w:shd w:fill="FFFFFF"/>
            <w:tcMar>
              <w:top w:w="120" w:type="dxa"/>
              <w:bottom w:w="120" w:type="dxa"/>
              <w:left w:w="180" w:type="dxa"/>
              <w:right w:w="180" w:type="dxa"/>
            </w:tcMar>
          </w:tcPr>
          <w:p>
            <w:r>
              <w:rPr>
                <w:rFonts w:ascii="Calibri" w:hAnsi="Calibri"/>
                <w:color w:val="2D3748"/>
                <w:sz w:val="19"/>
              </w:rPr>
              <w:t>Workplace Ethics &amp; Attendance</w:t>
            </w:r>
          </w:p>
        </w:tc>
        <w:tc>
          <w:tcPr>
            <w:tcW w:type="dxa" w:w="3888"/>
            <w:shd w:fill="FFFFFF"/>
            <w:tcMar>
              <w:top w:w="120" w:type="dxa"/>
              <w:bottom w:w="120" w:type="dxa"/>
              <w:left w:w="180" w:type="dxa"/>
              <w:right w:w="180" w:type="dxa"/>
            </w:tcMar>
          </w:tcPr>
          <w:p>
            <w:r>
              <w:rPr>
                <w:rFonts w:ascii="Calibri" w:hAnsi="Calibri"/>
                <w:color w:val="2D3748"/>
                <w:sz w:val="19"/>
              </w:rPr>
              <w:t>Punctuality, dress code compliance, and confidentiality</w:t>
            </w:r>
          </w:p>
        </w:tc>
        <w:tc>
          <w:tcPr>
            <w:tcW w:type="dxa" w:w="2304"/>
            <w:shd w:fill="FFFFFF"/>
            <w:tcMar>
              <w:top w:w="120" w:type="dxa"/>
              <w:bottom w:w="120" w:type="dxa"/>
              <w:left w:w="180" w:type="dxa"/>
              <w:right w:w="180" w:type="dxa"/>
            </w:tcMar>
          </w:tcPr>
          <w:p>
            <w:r>
              <w:rPr>
                <w:rFonts w:ascii="Calibri" w:hAnsi="Calibri"/>
                <w:color w:val="2D3748"/>
                <w:sz w:val="19"/>
              </w:rPr>
              <w:t>Outstanding (100%)</w:t>
            </w:r>
          </w:p>
        </w:tc>
      </w:tr>
      <w:tr>
        <w:tc>
          <w:tcPr>
            <w:tcW w:type="dxa" w:w="3168"/>
            <w:shd w:fill="F0FDFA"/>
            <w:tcMar>
              <w:top w:w="120" w:type="dxa"/>
              <w:bottom w:w="120" w:type="dxa"/>
              <w:left w:w="180" w:type="dxa"/>
              <w:right w:w="180" w:type="dxa"/>
            </w:tcMar>
          </w:tcPr>
          <w:p>
            <w:r>
              <w:rPr>
                <w:rFonts w:ascii="Calibri" w:hAnsi="Calibri"/>
                <w:color w:val="2D3748"/>
                <w:sz w:val="19"/>
              </w:rPr>
              <w:t>Systems Administration</w:t>
            </w:r>
          </w:p>
        </w:tc>
        <w:tc>
          <w:tcPr>
            <w:tcW w:type="dxa" w:w="3888"/>
            <w:shd w:fill="F0FDFA"/>
            <w:tcMar>
              <w:top w:w="120" w:type="dxa"/>
              <w:bottom w:w="120" w:type="dxa"/>
              <w:left w:w="180" w:type="dxa"/>
              <w:right w:w="180" w:type="dxa"/>
            </w:tcMar>
          </w:tcPr>
          <w:p>
            <w:r>
              <w:rPr>
                <w:rFonts w:ascii="Calibri" w:hAnsi="Calibri"/>
                <w:color w:val="2D3748"/>
                <w:sz w:val="19"/>
              </w:rPr>
              <w:t>Autonomous Linux maintenance, AD user provisioning</w:t>
            </w:r>
          </w:p>
        </w:tc>
        <w:tc>
          <w:tcPr>
            <w:tcW w:type="dxa" w:w="2304"/>
            <w:shd w:fill="F0FDFA"/>
            <w:tcMar>
              <w:top w:w="120" w:type="dxa"/>
              <w:bottom w:w="120" w:type="dxa"/>
              <w:left w:w="180" w:type="dxa"/>
              <w:right w:w="180" w:type="dxa"/>
            </w:tcMar>
          </w:tcPr>
          <w:p>
            <w:r>
              <w:rPr>
                <w:rFonts w:ascii="Calibri" w:hAnsi="Calibri"/>
                <w:color w:val="2D3748"/>
                <w:sz w:val="19"/>
              </w:rPr>
              <w:t>Exceeds Standards (96%)</w:t>
            </w:r>
          </w:p>
        </w:tc>
      </w:tr>
      <w:tr>
        <w:tc>
          <w:tcPr>
            <w:tcW w:type="dxa" w:w="3168"/>
            <w:shd w:fill="FFFFFF"/>
            <w:tcMar>
              <w:top w:w="120" w:type="dxa"/>
              <w:bottom w:w="120" w:type="dxa"/>
              <w:left w:w="180" w:type="dxa"/>
              <w:right w:w="180" w:type="dxa"/>
            </w:tcMar>
          </w:tcPr>
          <w:p>
            <w:r>
              <w:rPr>
                <w:rFonts w:ascii="Calibri" w:hAnsi="Calibri"/>
                <w:color w:val="2D3748"/>
                <w:sz w:val="19"/>
              </w:rPr>
              <w:t>Problem Analysis &amp; Initiative</w:t>
            </w:r>
          </w:p>
        </w:tc>
        <w:tc>
          <w:tcPr>
            <w:tcW w:type="dxa" w:w="3888"/>
            <w:shd w:fill="FFFFFF"/>
            <w:tcMar>
              <w:top w:w="120" w:type="dxa"/>
              <w:bottom w:w="120" w:type="dxa"/>
              <w:left w:w="180" w:type="dxa"/>
              <w:right w:w="180" w:type="dxa"/>
            </w:tcMar>
          </w:tcPr>
          <w:p>
            <w:r>
              <w:rPr>
                <w:rFonts w:ascii="Calibri" w:hAnsi="Calibri"/>
                <w:color w:val="2D3748"/>
                <w:sz w:val="19"/>
              </w:rPr>
              <w:t>Independent root-cause analysis during live outages</w:t>
            </w:r>
          </w:p>
        </w:tc>
        <w:tc>
          <w:tcPr>
            <w:tcW w:type="dxa" w:w="2304"/>
            <w:shd w:fill="FFFFFF"/>
            <w:tcMar>
              <w:top w:w="120" w:type="dxa"/>
              <w:bottom w:w="120" w:type="dxa"/>
              <w:left w:w="180" w:type="dxa"/>
              <w:right w:w="180" w:type="dxa"/>
            </w:tcMar>
          </w:tcPr>
          <w:p>
            <w:r>
              <w:rPr>
                <w:rFonts w:ascii="Calibri" w:hAnsi="Calibri"/>
                <w:color w:val="2D3748"/>
                <w:sz w:val="19"/>
              </w:rPr>
              <w:t>Outstanding (98%)</w:t>
            </w:r>
          </w:p>
        </w:tc>
      </w:tr>
      <w:tr>
        <w:tc>
          <w:tcPr>
            <w:tcW w:type="dxa" w:w="3168"/>
            <w:shd w:fill="F0FDFA"/>
            <w:tcMar>
              <w:top w:w="120" w:type="dxa"/>
              <w:bottom w:w="120" w:type="dxa"/>
              <w:left w:w="180" w:type="dxa"/>
              <w:right w:w="180" w:type="dxa"/>
            </w:tcMar>
          </w:tcPr>
          <w:p>
            <w:r>
              <w:rPr>
                <w:rFonts w:ascii="Calibri" w:hAnsi="Calibri"/>
                <w:color w:val="2D3748"/>
                <w:sz w:val="19"/>
              </w:rPr>
              <w:t>Documentation &amp; Teamwork</w:t>
            </w:r>
          </w:p>
        </w:tc>
        <w:tc>
          <w:tcPr>
            <w:tcW w:type="dxa" w:w="3888"/>
            <w:shd w:fill="F0FDFA"/>
            <w:tcMar>
              <w:top w:w="120" w:type="dxa"/>
              <w:bottom w:w="120" w:type="dxa"/>
              <w:left w:w="180" w:type="dxa"/>
              <w:right w:w="180" w:type="dxa"/>
            </w:tcMar>
          </w:tcPr>
          <w:p>
            <w:r>
              <w:rPr>
                <w:rFonts w:ascii="Calibri" w:hAnsi="Calibri"/>
                <w:color w:val="2D3748"/>
                <w:sz w:val="19"/>
              </w:rPr>
              <w:t>Clear technical guides and cross-team communication</w:t>
            </w:r>
          </w:p>
        </w:tc>
        <w:tc>
          <w:tcPr>
            <w:tcW w:type="dxa" w:w="2304"/>
            <w:shd w:fill="F0FDFA"/>
            <w:tcMar>
              <w:top w:w="120" w:type="dxa"/>
              <w:bottom w:w="120" w:type="dxa"/>
              <w:left w:w="180" w:type="dxa"/>
              <w:right w:w="180" w:type="dxa"/>
            </w:tcMar>
          </w:tcPr>
          <w:p>
            <w:r>
              <w:rPr>
                <w:rFonts w:ascii="Calibri" w:hAnsi="Calibri"/>
                <w:color w:val="2D3748"/>
                <w:sz w:val="19"/>
              </w:rPr>
              <w:t>Exceeds Standards (95%)</w:t>
            </w:r>
          </w:p>
        </w:tc>
      </w:tr>
    </w:tbl>
    <w:p>
      <w:pPr>
        <w:keepNext/>
        <w:spacing w:before="360" w:after="120"/>
      </w:pPr>
      <w:r>
        <w:rPr>
          <w:rFonts w:ascii="Calibri" w:hAnsi="Calibri"/>
          <w:b/>
          <w:color w:val="134E4A"/>
          <w:sz w:val="32"/>
        </w:rPr>
        <w:t>References &amp; Industry Guidelines</w:t>
      </w:r>
    </w:p>
    <w:p>
      <w:pPr>
        <w:spacing w:after="120"/>
        <w:ind w:left="720" w:hanging="720"/>
      </w:pPr>
      <w:r>
        <w:rPr>
          <w:rFonts w:ascii="Calibri" w:hAnsi="Calibri"/>
          <w:sz w:val="20"/>
        </w:rPr>
        <w:t>Commission on Higher Education. (2017). Policies, standards, and guidelines for the Bachelor of Science in Information Technology (BSIT) program (CHED Memorandum Order No. 25).</w:t>
      </w:r>
    </w:p>
    <w:p>
      <w:pPr>
        <w:spacing w:after="120"/>
        <w:ind w:left="720" w:hanging="720"/>
      </w:pPr>
      <w:r>
        <w:rPr>
          <w:rFonts w:ascii="Calibri" w:hAnsi="Calibri"/>
          <w:sz w:val="20"/>
        </w:rPr>
        <w:t>STI West Negros University. (2025). Student practicum manual and guidelines. College of ICT.</w:t>
      </w:r>
    </w:p>
    <w:p>
      <w:pPr>
        <w:spacing w:after="120"/>
        <w:ind w:left="720" w:hanging="720"/>
      </w:pPr>
      <w:r>
        <w:rPr>
          <w:rFonts w:ascii="Calibri" w:hAnsi="Calibri"/>
          <w:sz w:val="20"/>
        </w:rPr>
        <w:t>Tanenbaum, A. S., &amp; Wetherall, D. J. (2014). Computer networks (5th ed.). Pearson Education.</w:t>
      </w:r>
    </w:p>
    <w:p>
      <w:pPr>
        <w:spacing w:after="120"/>
        <w:ind w:left="720" w:hanging="720"/>
      </w:pPr>
      <w:r>
        <w:rPr>
          <w:rFonts w:ascii="Calibri" w:hAnsi="Calibri"/>
          <w:sz w:val="20"/>
        </w:rPr>
        <w:t>Torvalds, L., &amp; Diamond, D. (2001). Just for fun: The story of an accidental revolutionary. HarperCollins.</w:t>
      </w:r>
    </w:p>
    <w:sectPr w:rsidR="00FC693F" w:rsidRPr="0006063C" w:rsidSect="00034616">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STI West Negros University  •  Jhon Paulo Gascon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Internship Narrative Report: Jhon Paulo Gascon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