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Calibri" w:hAnsi="Calibri"/>
          <w:b/>
          <w:color w:val="4A5568"/>
          <w:sz w:val="24"/>
        </w:rPr>
        <w:t>STI WEST NEGROS UNIVERSITY</w:t>
      </w:r>
    </w:p>
    <w:p>
      <w:pPr>
        <w:spacing w:after="1440"/>
        <w:jc w:val="center"/>
      </w:pPr>
      <w:r>
        <w:rPr>
          <w:rFonts w:ascii="Calibri" w:hAnsi="Calibri"/>
          <w:color w:val="718096"/>
          <w:sz w:val="20"/>
        </w:rPr>
        <w:t>College of Information and Communications Technology</w:t>
      </w:r>
    </w:p>
    <w:p>
      <w:pPr>
        <w:spacing w:after="280"/>
        <w:jc w:val="center"/>
      </w:pPr>
      <w:r>
        <w:rPr>
          <w:rFonts w:ascii="Calibri" w:hAnsi="Calibri"/>
          <w:b/>
          <w:color w:val="064E3B"/>
          <w:sz w:val="48"/>
        </w:rPr>
        <w:t>SmartTrack: A Mobile Attendance Monitoring System Using Biometric &amp; Dynamic QR Verification</w:t>
      </w:r>
    </w:p>
    <w:p>
      <w:pPr>
        <w:spacing w:after="320"/>
        <w:jc w:val="center"/>
      </w:pPr>
      <w:r>
        <w:rPr>
          <w:color w:val="064E3B"/>
          <w:sz w:val="20"/>
        </w:rPr>
        <w:t>————————————————————————————</w:t>
      </w:r>
    </w:p>
    <w:p>
      <w:pPr>
        <w:spacing w:after="2800"/>
        <w:jc w:val="center"/>
      </w:pPr>
      <w:r>
        <w:rPr>
          <w:rFonts w:ascii="Calibri" w:hAnsi="Calibri"/>
          <w:i/>
          <w:color w:val="4A5568"/>
          <w:sz w:val="26"/>
        </w:rPr>
        <w:t>Chapters 1 to 3: Problem Background, Literature Review, and Technical System Methodology</w:t>
      </w:r>
    </w:p>
    <w:p>
      <w:pPr>
        <w:spacing w:line="312" w:lineRule="auto" w:after="400"/>
        <w:jc w:val="center"/>
      </w:pPr>
      <w:r>
        <w:rPr>
          <w:rFonts w:ascii="Calibri" w:hAnsi="Calibri"/>
          <w:color w:val="718096"/>
          <w:sz w:val="20"/>
        </w:rPr>
        <w:t>BSIT Capstone Project Manuscript</w:t>
        <w:br/>
        <w:t>Presented by:</w:t>
        <w:br/>
      </w:r>
      <w:r>
        <w:rPr>
          <w:rFonts w:ascii="Calibri" w:hAnsi="Calibri"/>
          <w:b/>
          <w:color w:val="064E3B"/>
          <w:sz w:val="26"/>
        </w:rPr>
        <w:t>JHON PAULO V. GASCON</w:t>
        <w:br/>
      </w:r>
      <w:r>
        <w:rPr>
          <w:rFonts w:ascii="Calibri" w:hAnsi="Calibri"/>
          <w:color w:val="4A5568"/>
          <w:sz w:val="20"/>
        </w:rPr>
        <w:t>Bachelor of Science in Information Technology (BSIT)</w:t>
        <w:br/>
        <w:t>Bacolod City, Philippines</w:t>
        <w:br/>
        <w:t>October 2026</w:t>
      </w:r>
    </w:p>
    <w:p>
      <w:r>
        <w:br w:type="page"/>
      </w:r>
    </w:p>
    <w:p>
      <w:pPr>
        <w:sectPr>
          <w:headerReference w:type="default" r:id="rId9"/>
          <w:footerReference w:type="default" r:id="rId10"/>
          <w:pgSz w:w="12240" w:h="15840"/>
          <w:pgMar w:top="1440" w:right="1440" w:bottom="1440" w:left="1440" w:header="720" w:footer="720" w:gutter="0"/>
          <w:cols w:space="720"/>
          <w:titlePg/>
          <w:docGrid w:linePitch="360"/>
        </w:sectPr>
      </w:pPr>
    </w:p>
    <w:p>
      <w:pPr>
        <w:keepNext/>
        <w:spacing w:before="360" w:after="120"/>
      </w:pPr>
      <w:r>
        <w:rPr>
          <w:rFonts w:ascii="Calibri" w:hAnsi="Calibri"/>
          <w:b/>
          <w:color w:val="064E3B"/>
          <w:sz w:val="32"/>
        </w:rPr>
        <w:t>Chapter 1: The Problem and Its Background</w:t>
      </w:r>
    </w:p>
    <w:p>
      <w:pPr>
        <w:spacing w:before="0" w:after="140" w:line="276" w:lineRule="auto"/>
      </w:pPr>
      <w:r>
        <w:rPr>
          <w:rFonts w:ascii="Calibri" w:hAnsi="Calibri"/>
          <w:color w:val="2D3748"/>
          <w:sz w:val="22"/>
        </w:rPr>
        <w:t>Manual roll-call and paper sign-in sheets remain pervasive across university classrooms despite widespread digital transformation. These legacy methods consume up to 15 minutes of scheduled lecture time, are vulnerable to fraudulent proxy attendance, and require labor-intensive manual data re-entry into institutional learning management systems.</w:t>
      </w:r>
    </w:p>
    <w:p>
      <w:pPr>
        <w:keepNext/>
        <w:spacing w:before="240" w:after="80"/>
      </w:pPr>
      <w:r>
        <w:rPr>
          <w:rFonts w:ascii="Calibri" w:hAnsi="Calibri"/>
          <w:b/>
          <w:color w:val="064E3B"/>
          <w:sz w:val="26"/>
        </w:rPr>
        <w:t>1.1 Project Objectives</w:t>
      </w:r>
    </w:p>
    <w:p>
      <w:pPr>
        <w:spacing w:before="0" w:after="140" w:line="276" w:lineRule="auto"/>
      </w:pPr>
      <w:r>
        <w:rPr>
          <w:rFonts w:ascii="Calibri" w:hAnsi="Calibri"/>
          <w:color w:val="2D3748"/>
          <w:sz w:val="22"/>
        </w:rPr>
        <w:t>The primary objective is to architect and deploy SmartTrack, a cross-platform mobile application combining dynamic time-sensitive QR codes with biometric fingerprint/face authentication. Specific aims include: 1) eliminating paper waste and human recording errors; 2) synchronizing real-time classroom records with university administrative databases; and 3) alerting academic advisors when students breach absentee warning thresholds.</w:t>
      </w:r>
    </w:p>
    <w:p>
      <w:pPr>
        <w:keepNext/>
        <w:spacing w:before="240" w:after="80"/>
      </w:pPr>
      <w:r>
        <w:rPr>
          <w:rFonts w:ascii="Calibri" w:hAnsi="Calibri"/>
          <w:b/>
          <w:color w:val="064E3B"/>
          <w:sz w:val="26"/>
        </w:rPr>
        <w:t>1.2 Scope and Delimitations</w:t>
      </w:r>
    </w:p>
    <w:p>
      <w:pPr>
        <w:spacing w:before="0" w:after="140" w:line="276" w:lineRule="auto"/>
      </w:pPr>
      <w:r>
        <w:rPr>
          <w:rFonts w:ascii="Calibri" w:hAnsi="Calibri"/>
          <w:color w:val="2D3748"/>
          <w:sz w:val="22"/>
        </w:rPr>
        <w:t>The system scope covers enrolled students and instructors within the College of Information and Communications Technology at STI West Negros University. Delimitations restrict offline attendance logging to localized caching, requiring an active internet handshake within 12 hours for official institutional ledger commitment.</w:t>
      </w:r>
    </w:p>
    <w:tbl>
      <w:tblPr>
        <w:tblW w:type="auto" w:w="0"/>
        <w:jc w:val="center"/>
        <w:tblLook w:firstColumn="1" w:firstRow="1" w:lastColumn="0" w:lastRow="0" w:noHBand="0" w:noVBand="1" w:val="04A0"/>
      </w:tblPr>
      <w:tblGrid>
        <w:gridCol w:w="9360"/>
      </w:tblGrid>
      <w:tr>
        <w:tc>
          <w:tcPr>
            <w:tcW w:type="dxa" w:w="9360"/>
            <w:shd w:fill="ECFDF5"/>
            <w:tcMar>
              <w:top w:w="140" w:type="dxa"/>
              <w:bottom w:w="140" w:type="dxa"/>
              <w:left w:w="180" w:type="dxa"/>
              <w:right w:w="180" w:type="dxa"/>
            </w:tcMar>
          </w:tcPr>
          <w:p>
            <w:pPr>
              <w:spacing w:after="40"/>
            </w:pPr>
            <w:r>
              <w:rPr>
                <w:rFonts w:ascii="Calibri" w:hAnsi="Calibri"/>
                <w:b/>
                <w:color w:val="1E3A8A"/>
                <w:sz w:val="20"/>
              </w:rPr>
              <w:t xml:space="preserve">TECHNICAL INNOVATION HIGHLIGHT: </w:t>
            </w:r>
            <w:r>
              <w:rPr>
                <w:rFonts w:ascii="Calibri" w:hAnsi="Calibri"/>
                <w:color w:val="1E293B"/>
                <w:sz w:val="20"/>
              </w:rPr>
              <w:t>Dynamic QR codes refresh every 10 seconds with cryptographic hashing, completely preventing unauthorized off-campus photo sharing and proxy check-ins.</w:t>
            </w:r>
          </w:p>
        </w:tc>
      </w:tr>
    </w:tbl>
    <w:p>
      <w:pPr>
        <w:spacing w:after="80"/>
      </w:pPr>
    </w:p>
    <w:p>
      <w:pPr>
        <w:keepNext/>
        <w:spacing w:before="360" w:after="120"/>
      </w:pPr>
      <w:r>
        <w:rPr>
          <w:rFonts w:ascii="Calibri" w:hAnsi="Calibri"/>
          <w:b/>
          <w:color w:val="064E3B"/>
          <w:sz w:val="32"/>
        </w:rPr>
        <w:t>Chapter 2: Review of Related Literature and Studies</w:t>
      </w:r>
    </w:p>
    <w:p>
      <w:pPr>
        <w:spacing w:before="0" w:after="140" w:line="276" w:lineRule="auto"/>
      </w:pPr>
      <w:r>
        <w:rPr>
          <w:rFonts w:ascii="Calibri" w:hAnsi="Calibri"/>
          <w:color w:val="2D3748"/>
          <w:sz w:val="22"/>
        </w:rPr>
        <w:t>Previous academic literature has explored RFID badges, Bluetooth Low Energy (BLE) beacons, and facial recognition terminals. Patel and Priyadarshi (2020) demonstrated that while fixed biometric readers provide reliable verification, physical bottleneck queues at classroom doorways severely disrupt bell schedules.</w:t>
      </w:r>
    </w:p>
    <w:p>
      <w:pPr>
        <w:spacing w:before="0" w:after="140" w:line="276" w:lineRule="auto"/>
      </w:pPr>
      <w:r>
        <w:rPr>
          <w:rFonts w:ascii="Calibri" w:hAnsi="Calibri"/>
          <w:color w:val="2D3748"/>
          <w:sz w:val="22"/>
        </w:rPr>
        <w:t>Static QR code systems, while inexpensive, suffer from severe proxy fraud vulnerabilities where students photograph code slips and broadcast them over social messaging channels to absent peers.</w:t>
      </w:r>
    </w:p>
    <w:p>
      <w:pPr>
        <w:spacing w:before="160" w:after="80"/>
      </w:pPr>
      <w:r>
        <w:rPr>
          <w:b/>
          <w:sz w:val="20"/>
        </w:rPr>
        <w:t>Table 1. Comparative Analysis of Academic Attendance Technologies</w:t>
      </w:r>
    </w:p>
    <w:tbl>
      <w:tblPr>
        <w:tblW w:type="auto" w:w="0"/>
        <w:jc w:val="center"/>
        <w:tblLook w:firstColumn="1" w:firstRow="1" w:lastColumn="0" w:lastRow="0" w:noHBand="0" w:noVBand="1" w:val="04A0"/>
      </w:tblPr>
      <w:tblGrid>
        <w:gridCol w:w="2340"/>
        <w:gridCol w:w="2340"/>
        <w:gridCol w:w="2340"/>
        <w:gridCol w:w="2340"/>
      </w:tblGrid>
      <w:tr>
        <w:tc>
          <w:tcPr>
            <w:tcW w:type="dxa" w:w="2592"/>
            <w:shd w:fill="064E3B"/>
            <w:tcMar>
              <w:top w:w="140" w:type="dxa"/>
              <w:bottom w:w="140" w:type="dxa"/>
              <w:left w:w="180" w:type="dxa"/>
              <w:right w:w="180" w:type="dxa"/>
            </w:tcMar>
          </w:tcPr>
          <w:p>
            <w:pPr>
              <w:jc w:val="left"/>
            </w:pPr>
            <w:r>
              <w:rPr>
                <w:rFonts w:ascii="Calibri" w:hAnsi="Calibri"/>
                <w:b/>
                <w:color w:val="FFFFFF"/>
                <w:sz w:val="20"/>
              </w:rPr>
              <w:t>Technology Framework</w:t>
            </w:r>
          </w:p>
        </w:tc>
        <w:tc>
          <w:tcPr>
            <w:tcW w:type="dxa" w:w="2016"/>
            <w:shd w:fill="064E3B"/>
            <w:tcMar>
              <w:top w:w="140" w:type="dxa"/>
              <w:bottom w:w="140" w:type="dxa"/>
              <w:left w:w="180" w:type="dxa"/>
              <w:right w:w="180" w:type="dxa"/>
            </w:tcMar>
          </w:tcPr>
          <w:p>
            <w:pPr>
              <w:jc w:val="left"/>
            </w:pPr>
            <w:r>
              <w:rPr>
                <w:rFonts w:ascii="Calibri" w:hAnsi="Calibri"/>
                <w:b/>
                <w:color w:val="FFFFFF"/>
                <w:sz w:val="20"/>
              </w:rPr>
              <w:t>Hardware Cost</w:t>
            </w:r>
          </w:p>
        </w:tc>
        <w:tc>
          <w:tcPr>
            <w:tcW w:type="dxa" w:w="2304"/>
            <w:shd w:fill="064E3B"/>
            <w:tcMar>
              <w:top w:w="140" w:type="dxa"/>
              <w:bottom w:w="140" w:type="dxa"/>
              <w:left w:w="180" w:type="dxa"/>
              <w:right w:w="180" w:type="dxa"/>
            </w:tcMar>
          </w:tcPr>
          <w:p>
            <w:pPr>
              <w:jc w:val="left"/>
            </w:pPr>
            <w:r>
              <w:rPr>
                <w:rFonts w:ascii="Calibri" w:hAnsi="Calibri"/>
                <w:b/>
                <w:color w:val="FFFFFF"/>
                <w:sz w:val="20"/>
              </w:rPr>
              <w:t>Queue Bottleneck</w:t>
            </w:r>
          </w:p>
        </w:tc>
        <w:tc>
          <w:tcPr>
            <w:tcW w:type="dxa" w:w="2448"/>
            <w:shd w:fill="064E3B"/>
            <w:tcMar>
              <w:top w:w="140" w:type="dxa"/>
              <w:bottom w:w="140" w:type="dxa"/>
              <w:left w:w="180" w:type="dxa"/>
              <w:right w:w="180" w:type="dxa"/>
            </w:tcMar>
          </w:tcPr>
          <w:p>
            <w:pPr>
              <w:jc w:val="left"/>
            </w:pPr>
            <w:r>
              <w:rPr>
                <w:rFonts w:ascii="Calibri" w:hAnsi="Calibri"/>
                <w:b/>
                <w:color w:val="FFFFFF"/>
                <w:sz w:val="20"/>
              </w:rPr>
              <w:t>Proxy Vulnerability</w:t>
            </w:r>
          </w:p>
        </w:tc>
      </w:tr>
      <w:tr>
        <w:tc>
          <w:tcPr>
            <w:tcW w:type="dxa" w:w="2592"/>
            <w:shd w:fill="FFFFFF"/>
            <w:tcMar>
              <w:top w:w="120" w:type="dxa"/>
              <w:bottom w:w="120" w:type="dxa"/>
              <w:left w:w="180" w:type="dxa"/>
              <w:right w:w="180" w:type="dxa"/>
            </w:tcMar>
          </w:tcPr>
          <w:p>
            <w:r>
              <w:rPr>
                <w:rFonts w:ascii="Calibri" w:hAnsi="Calibri"/>
                <w:color w:val="2D3748"/>
                <w:sz w:val="19"/>
              </w:rPr>
              <w:t>Paper Sign-in Logbooks</w:t>
            </w:r>
          </w:p>
        </w:tc>
        <w:tc>
          <w:tcPr>
            <w:tcW w:type="dxa" w:w="2016"/>
            <w:shd w:fill="FFFFFF"/>
            <w:tcMar>
              <w:top w:w="120" w:type="dxa"/>
              <w:bottom w:w="120" w:type="dxa"/>
              <w:left w:w="180" w:type="dxa"/>
              <w:right w:w="180" w:type="dxa"/>
            </w:tcMar>
          </w:tcPr>
          <w:p>
            <w:r>
              <w:rPr>
                <w:rFonts w:ascii="Calibri" w:hAnsi="Calibri"/>
                <w:color w:val="2D3748"/>
                <w:sz w:val="19"/>
              </w:rPr>
              <w:t>Zero Initial Cost</w:t>
            </w:r>
          </w:p>
        </w:tc>
        <w:tc>
          <w:tcPr>
            <w:tcW w:type="dxa" w:w="2304"/>
            <w:shd w:fill="FFFFFF"/>
            <w:tcMar>
              <w:top w:w="120" w:type="dxa"/>
              <w:bottom w:w="120" w:type="dxa"/>
              <w:left w:w="180" w:type="dxa"/>
              <w:right w:w="180" w:type="dxa"/>
            </w:tcMar>
          </w:tcPr>
          <w:p>
            <w:r>
              <w:rPr>
                <w:rFonts w:ascii="Calibri" w:hAnsi="Calibri"/>
                <w:color w:val="2D3748"/>
                <w:sz w:val="19"/>
              </w:rPr>
              <w:t>Severe Delay</w:t>
            </w:r>
          </w:p>
        </w:tc>
        <w:tc>
          <w:tcPr>
            <w:tcW w:type="dxa" w:w="2448"/>
            <w:shd w:fill="FFFFFF"/>
            <w:tcMar>
              <w:top w:w="120" w:type="dxa"/>
              <w:bottom w:w="120" w:type="dxa"/>
              <w:left w:w="180" w:type="dxa"/>
              <w:right w:w="180" w:type="dxa"/>
            </w:tcMar>
          </w:tcPr>
          <w:p>
            <w:r>
              <w:rPr>
                <w:rFonts w:ascii="Calibri" w:hAnsi="Calibri"/>
                <w:color w:val="2D3748"/>
                <w:sz w:val="19"/>
              </w:rPr>
              <w:t>Extremely High (Proxy Signing)</w:t>
            </w:r>
          </w:p>
        </w:tc>
      </w:tr>
      <w:tr>
        <w:tc>
          <w:tcPr>
            <w:tcW w:type="dxa" w:w="2592"/>
            <w:shd w:fill="ECFDF5"/>
            <w:tcMar>
              <w:top w:w="120" w:type="dxa"/>
              <w:bottom w:w="120" w:type="dxa"/>
              <w:left w:w="180" w:type="dxa"/>
              <w:right w:w="180" w:type="dxa"/>
            </w:tcMar>
          </w:tcPr>
          <w:p>
            <w:r>
              <w:rPr>
                <w:rFonts w:ascii="Calibri" w:hAnsi="Calibri"/>
                <w:color w:val="2D3748"/>
                <w:sz w:val="19"/>
              </w:rPr>
              <w:t>Wall-Mounted Fingerprint</w:t>
            </w:r>
          </w:p>
        </w:tc>
        <w:tc>
          <w:tcPr>
            <w:tcW w:type="dxa" w:w="2016"/>
            <w:shd w:fill="ECFDF5"/>
            <w:tcMar>
              <w:top w:w="120" w:type="dxa"/>
              <w:bottom w:w="120" w:type="dxa"/>
              <w:left w:w="180" w:type="dxa"/>
              <w:right w:w="180" w:type="dxa"/>
            </w:tcMar>
          </w:tcPr>
          <w:p>
            <w:r>
              <w:rPr>
                <w:rFonts w:ascii="Calibri" w:hAnsi="Calibri"/>
                <w:color w:val="2D3748"/>
                <w:sz w:val="19"/>
              </w:rPr>
              <w:t>High (P15,000/room)</w:t>
            </w:r>
          </w:p>
        </w:tc>
        <w:tc>
          <w:tcPr>
            <w:tcW w:type="dxa" w:w="2304"/>
            <w:shd w:fill="ECFDF5"/>
            <w:tcMar>
              <w:top w:w="120" w:type="dxa"/>
              <w:bottom w:w="120" w:type="dxa"/>
              <w:left w:w="180" w:type="dxa"/>
              <w:right w:w="180" w:type="dxa"/>
            </w:tcMar>
          </w:tcPr>
          <w:p>
            <w:r>
              <w:rPr>
                <w:rFonts w:ascii="Calibri" w:hAnsi="Calibri"/>
                <w:color w:val="2D3748"/>
                <w:sz w:val="19"/>
              </w:rPr>
              <w:t>High Physical Queue</w:t>
            </w:r>
          </w:p>
        </w:tc>
        <w:tc>
          <w:tcPr>
            <w:tcW w:type="dxa" w:w="2448"/>
            <w:shd w:fill="ECFDF5"/>
            <w:tcMar>
              <w:top w:w="120" w:type="dxa"/>
              <w:bottom w:w="120" w:type="dxa"/>
              <w:left w:w="180" w:type="dxa"/>
              <w:right w:w="180" w:type="dxa"/>
            </w:tcMar>
          </w:tcPr>
          <w:p>
            <w:r>
              <w:rPr>
                <w:rFonts w:ascii="Calibri" w:hAnsi="Calibri"/>
                <w:color w:val="2D3748"/>
                <w:sz w:val="19"/>
              </w:rPr>
              <w:t>Zero (Biometric Tied)</w:t>
            </w:r>
          </w:p>
        </w:tc>
      </w:tr>
      <w:tr>
        <w:tc>
          <w:tcPr>
            <w:tcW w:type="dxa" w:w="2592"/>
            <w:shd w:fill="FFFFFF"/>
            <w:tcMar>
              <w:top w:w="120" w:type="dxa"/>
              <w:bottom w:w="120" w:type="dxa"/>
              <w:left w:w="180" w:type="dxa"/>
              <w:right w:w="180" w:type="dxa"/>
            </w:tcMar>
          </w:tcPr>
          <w:p>
            <w:r>
              <w:rPr>
                <w:rFonts w:ascii="Calibri" w:hAnsi="Calibri"/>
                <w:color w:val="2D3748"/>
                <w:sz w:val="19"/>
              </w:rPr>
              <w:t>Static Printed QR Code</w:t>
            </w:r>
          </w:p>
        </w:tc>
        <w:tc>
          <w:tcPr>
            <w:tcW w:type="dxa" w:w="2016"/>
            <w:shd w:fill="FFFFFF"/>
            <w:tcMar>
              <w:top w:w="120" w:type="dxa"/>
              <w:bottom w:w="120" w:type="dxa"/>
              <w:left w:w="180" w:type="dxa"/>
              <w:right w:w="180" w:type="dxa"/>
            </w:tcMar>
          </w:tcPr>
          <w:p>
            <w:r>
              <w:rPr>
                <w:rFonts w:ascii="Calibri" w:hAnsi="Calibri"/>
                <w:color w:val="2D3748"/>
                <w:sz w:val="19"/>
              </w:rPr>
              <w:t>Minimal (Paper QR)</w:t>
            </w:r>
          </w:p>
        </w:tc>
        <w:tc>
          <w:tcPr>
            <w:tcW w:type="dxa" w:w="2304"/>
            <w:shd w:fill="FFFFFF"/>
            <w:tcMar>
              <w:top w:w="120" w:type="dxa"/>
              <w:bottom w:w="120" w:type="dxa"/>
              <w:left w:w="180" w:type="dxa"/>
              <w:right w:w="180" w:type="dxa"/>
            </w:tcMar>
          </w:tcPr>
          <w:p>
            <w:r>
              <w:rPr>
                <w:rFonts w:ascii="Calibri" w:hAnsi="Calibri"/>
                <w:color w:val="2D3748"/>
                <w:sz w:val="19"/>
              </w:rPr>
              <w:t>Low Delay</w:t>
            </w:r>
          </w:p>
        </w:tc>
        <w:tc>
          <w:tcPr>
            <w:tcW w:type="dxa" w:w="2448"/>
            <w:shd w:fill="FFFFFF"/>
            <w:tcMar>
              <w:top w:w="120" w:type="dxa"/>
              <w:bottom w:w="120" w:type="dxa"/>
              <w:left w:w="180" w:type="dxa"/>
              <w:right w:w="180" w:type="dxa"/>
            </w:tcMar>
          </w:tcPr>
          <w:p>
            <w:r>
              <w:rPr>
                <w:rFonts w:ascii="Calibri" w:hAnsi="Calibri"/>
                <w:color w:val="2D3748"/>
                <w:sz w:val="19"/>
              </w:rPr>
              <w:t>High (Image Shared on Chat)</w:t>
            </w:r>
          </w:p>
        </w:tc>
      </w:tr>
      <w:tr>
        <w:tc>
          <w:tcPr>
            <w:tcW w:type="dxa" w:w="2592"/>
            <w:shd w:fill="ECFDF5"/>
            <w:tcMar>
              <w:top w:w="120" w:type="dxa"/>
              <w:bottom w:w="120" w:type="dxa"/>
              <w:left w:w="180" w:type="dxa"/>
              <w:right w:w="180" w:type="dxa"/>
            </w:tcMar>
          </w:tcPr>
          <w:p>
            <w:r>
              <w:rPr>
                <w:rFonts w:ascii="Calibri" w:hAnsi="Calibri"/>
                <w:color w:val="2D3748"/>
                <w:sz w:val="19"/>
              </w:rPr>
              <w:t>SmartTrack Dynamic QR</w:t>
            </w:r>
          </w:p>
        </w:tc>
        <w:tc>
          <w:tcPr>
            <w:tcW w:type="dxa" w:w="2016"/>
            <w:shd w:fill="ECFDF5"/>
            <w:tcMar>
              <w:top w:w="120" w:type="dxa"/>
              <w:bottom w:w="120" w:type="dxa"/>
              <w:left w:w="180" w:type="dxa"/>
              <w:right w:w="180" w:type="dxa"/>
            </w:tcMar>
          </w:tcPr>
          <w:p>
            <w:r>
              <w:rPr>
                <w:rFonts w:ascii="Calibri" w:hAnsi="Calibri"/>
                <w:color w:val="2D3748"/>
                <w:sz w:val="19"/>
              </w:rPr>
              <w:t>Low (Existing Phones)</w:t>
            </w:r>
          </w:p>
        </w:tc>
        <w:tc>
          <w:tcPr>
            <w:tcW w:type="dxa" w:w="2304"/>
            <w:shd w:fill="ECFDF5"/>
            <w:tcMar>
              <w:top w:w="120" w:type="dxa"/>
              <w:bottom w:w="120" w:type="dxa"/>
              <w:left w:w="180" w:type="dxa"/>
              <w:right w:w="180" w:type="dxa"/>
            </w:tcMar>
          </w:tcPr>
          <w:p>
            <w:r>
              <w:rPr>
                <w:rFonts w:ascii="Calibri" w:hAnsi="Calibri"/>
                <w:color w:val="2D3748"/>
                <w:sz w:val="19"/>
              </w:rPr>
              <w:t>Zero Bottleneck (&lt;3 sec)</w:t>
            </w:r>
          </w:p>
        </w:tc>
        <w:tc>
          <w:tcPr>
            <w:tcW w:type="dxa" w:w="2448"/>
            <w:shd w:fill="ECFDF5"/>
            <w:tcMar>
              <w:top w:w="120" w:type="dxa"/>
              <w:bottom w:w="120" w:type="dxa"/>
              <w:left w:w="180" w:type="dxa"/>
              <w:right w:w="180" w:type="dxa"/>
            </w:tcMar>
          </w:tcPr>
          <w:p>
            <w:r>
              <w:rPr>
                <w:rFonts w:ascii="Calibri" w:hAnsi="Calibri"/>
                <w:color w:val="2D3748"/>
                <w:sz w:val="19"/>
              </w:rPr>
              <w:t>Zero (Rotating Hash + Biometric)</w:t>
            </w:r>
          </w:p>
        </w:tc>
      </w:tr>
    </w:tbl>
    <w:p>
      <w:pPr>
        <w:keepNext/>
        <w:spacing w:before="240" w:after="80"/>
      </w:pPr>
      <w:r>
        <w:rPr>
          <w:rFonts w:ascii="Calibri" w:hAnsi="Calibri"/>
          <w:b/>
          <w:color w:val="064E3B"/>
          <w:sz w:val="26"/>
        </w:rPr>
        <w:t>2.1 Conceptual Framework: Input-Process-Output</w:t>
      </w:r>
    </w:p>
    <w:p>
      <w:pPr>
        <w:spacing w:before="0" w:after="140" w:line="276" w:lineRule="auto"/>
      </w:pPr>
      <w:r>
        <w:rPr>
          <w:rFonts w:ascii="Calibri" w:hAnsi="Calibri"/>
          <w:color w:val="2D3748"/>
          <w:sz w:val="22"/>
        </w:rPr>
        <w:t>Under the IPO model, Inputs comprise student credentials, geo-fenced campus coordinates, and classroom session tokens. The Process stage encompasses cryptographic SHA-256 rotating QR rendering, biometric enclave authentication, and timestamp verification. The Output is an authenticated attendance record reflected instantly on instructor dashboards.</w:t>
      </w:r>
    </w:p>
    <w:p>
      <w:pPr>
        <w:keepNext/>
        <w:spacing w:before="360" w:after="120"/>
      </w:pPr>
      <w:r>
        <w:rPr>
          <w:rFonts w:ascii="Calibri" w:hAnsi="Calibri"/>
          <w:b/>
          <w:color w:val="064E3B"/>
          <w:sz w:val="32"/>
        </w:rPr>
        <w:t>Chapter 3: Research Methodology and Technical Design</w:t>
      </w:r>
    </w:p>
    <w:p>
      <w:pPr>
        <w:spacing w:before="0" w:after="140" w:line="276" w:lineRule="auto"/>
      </w:pPr>
      <w:r>
        <w:rPr>
          <w:rFonts w:ascii="Calibri" w:hAnsi="Calibri"/>
          <w:color w:val="2D3748"/>
          <w:sz w:val="22"/>
        </w:rPr>
        <w:t>The project adopts the Agile Scrum methodology, consisting of four two-week sprints: Requirements Gathering, UI/UX Wireframing in Figma, REST API and Database Architecture, and System Testing. The backend is built upon Node.js and PostgreSQL, with client applications built in Flutter for simultaneous Android and iOS support.</w:t>
      </w:r>
    </w:p>
    <w:p>
      <w:pPr>
        <w:spacing w:before="0" w:after="140" w:line="276" w:lineRule="auto"/>
      </w:pPr>
      <w:r>
        <w:rPr>
          <w:rFonts w:ascii="Calibri" w:hAnsi="Calibri"/>
          <w:color w:val="2D3748"/>
          <w:sz w:val="22"/>
        </w:rPr>
        <w:t>Data privacy is maintained in strict compliance with Republic Act No. 10173 (Data Privacy Act of 2012). Biometric templates remain stored within the client smartphone's secure enclave and are never transmitted across university network servers.</w:t>
      </w:r>
    </w:p>
    <w:p>
      <w:pPr>
        <w:keepNext/>
        <w:spacing w:before="240" w:after="80"/>
      </w:pPr>
      <w:r>
        <w:rPr>
          <w:rFonts w:ascii="Calibri" w:hAnsi="Calibri"/>
          <w:b/>
          <w:color w:val="064E3B"/>
          <w:sz w:val="26"/>
        </w:rPr>
        <w:t>3.1 System Testing and Acceptance Protocols</w:t>
      </w:r>
    </w:p>
    <w:p>
      <w:pPr>
        <w:spacing w:before="0" w:after="140" w:line="276" w:lineRule="auto"/>
      </w:pPr>
      <w:r>
        <w:rPr>
          <w:rFonts w:ascii="Calibri" w:hAnsi="Calibri"/>
          <w:color w:val="2D3748"/>
          <w:sz w:val="22"/>
        </w:rPr>
        <w:t>Evaluation involves three rigorous testing tiers: Unit Testing with Jest for cryptographic token validity, Load Testing with k6 simulating 500 simultaneous requests per minute during class changeovers, and User Acceptance Testing (UAT) evaluated using ISO 9126 software quality metrics.</w:t>
      </w:r>
    </w:p>
    <w:p>
      <w:pPr>
        <w:keepNext/>
        <w:spacing w:before="360" w:after="120"/>
      </w:pPr>
      <w:r>
        <w:rPr>
          <w:rFonts w:ascii="Calibri" w:hAnsi="Calibri"/>
          <w:b/>
          <w:color w:val="064E3B"/>
          <w:sz w:val="32"/>
        </w:rPr>
        <w:t>References</w:t>
      </w:r>
    </w:p>
    <w:p>
      <w:pPr>
        <w:spacing w:after="120"/>
        <w:ind w:left="720" w:hanging="720"/>
      </w:pPr>
      <w:r>
        <w:rPr>
          <w:rFonts w:ascii="Calibri" w:hAnsi="Calibri"/>
          <w:sz w:val="20"/>
        </w:rPr>
        <w:t>ISO/IEC. (2001). Software engineering: Product quality (ISO/IEC Standard No. 9126-1:2001). International Organization for Standardization.</w:t>
      </w:r>
    </w:p>
    <w:p>
      <w:pPr>
        <w:spacing w:after="120"/>
        <w:ind w:left="720" w:hanging="720"/>
      </w:pPr>
      <w:r>
        <w:rPr>
          <w:rFonts w:ascii="Calibri" w:hAnsi="Calibri"/>
          <w:sz w:val="20"/>
        </w:rPr>
        <w:t>Patel, R., &amp; Priyadarshi, N. (2020). Automated student attendance tracking systems: A comparative review. International Journal of Computer Applications, 175(12), 35–42.</w:t>
      </w:r>
    </w:p>
    <w:p>
      <w:pPr>
        <w:spacing w:after="120"/>
        <w:ind w:left="720" w:hanging="720"/>
      </w:pPr>
      <w:r>
        <w:rPr>
          <w:rFonts w:ascii="Calibri" w:hAnsi="Calibri"/>
          <w:sz w:val="20"/>
        </w:rPr>
        <w:t>Republic of the Philippines. (2012). Republic Act No. 10173: Data Privacy Act of 2012. Official Gazette of the Republic of the Philippines.</w:t>
      </w:r>
    </w:p>
    <w:p>
      <w:pPr>
        <w:spacing w:after="120"/>
        <w:ind w:left="720" w:hanging="720"/>
      </w:pPr>
      <w:r>
        <w:rPr>
          <w:rFonts w:ascii="Calibri" w:hAnsi="Calibri"/>
          <w:sz w:val="20"/>
        </w:rPr>
        <w:t>Sommerville, I. (2016). Software engineering (10th ed.). Pearson Education.</w:t>
      </w:r>
    </w:p>
    <w:p>
      <w:pPr>
        <w:spacing w:after="120"/>
        <w:ind w:left="720" w:hanging="720"/>
      </w:pPr>
      <w:r>
        <w:rPr>
          <w:rFonts w:ascii="Calibri" w:hAnsi="Calibri"/>
          <w:sz w:val="20"/>
        </w:rPr>
        <w:t>Zhang, Y., &amp; Liu, H. (2022). Dynamic cryptographic QR codes for secure offline authentication. IEEE Transactions on Mobile Computing, 21(8), 2891–2904.</w:t>
      </w:r>
    </w:p>
    <w:sectPr w:rsidR="00FC693F" w:rsidRPr="0006063C" w:rsidSect="00034616">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STI West Negros University  •  Jhon Paulo Gascon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Thesis: SmartTrack Mobile Attendance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