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A0F1D"/>
          <w:sz w:val="40"/>
        </w:rPr>
        <w:t>HCI ORAL DEFENSE: MASTER Q&amp;A CHEAT SHEET</w:t>
      </w:r>
    </w:p>
    <w:p>
      <w:pPr>
        <w:spacing w:after="280"/>
      </w:pPr>
      <w:r>
        <w:rPr>
          <w:rFonts w:ascii="Calibri" w:hAnsi="Calibri"/>
          <w:color w:val="64748B"/>
          <w:sz w:val="21"/>
        </w:rPr>
        <w:t>Laboratory Exercise: Interactive Product Website in PowerPoint (AuraPulse X1)</w:t>
        <w:br/>
        <w:t>Course: COSC1007 — Human-Computer Interaction | STI West Negros University</w:t>
        <w:br/>
        <w:t>Prepared for: Lovely Shane H. Aguillon &amp; Haway (BSIT 2D)</w:t>
      </w:r>
    </w:p>
    <w:tbl>
      <w:tblPr>
        <w:tblW w:type="auto" w:w="0"/>
        <w:jc w:val="center"/>
        <w:tblLook w:firstColumn="1" w:firstRow="1" w:lastColumn="0" w:lastRow="0" w:noHBand="0" w:noVBand="1" w:val="04A0"/>
      </w:tblPr>
      <w:tblGrid>
        <w:gridCol w:w="9360"/>
      </w:tblGrid>
      <w:tr>
        <w:tc>
          <w:tcPr>
            <w:tcW w:type="dxa" w:w="9360"/>
            <w:shd w:fill="0E1A2F"/>
          </w:tcPr>
          <w:p>
            <w:pPr>
              <w:spacing w:before="120" w:after="120"/>
              <w:ind w:left="216"/>
            </w:pPr>
            <w:r>
              <w:rPr>
                <w:rFonts w:ascii="Calibri" w:hAnsi="Calibri"/>
                <w:b/>
                <w:color w:val="00E5FF"/>
                <w:sz w:val="22"/>
              </w:rPr>
              <w:t>CATEGORY 1: CORE HCI &amp; EVENT-DRIVEN ARCHITECTURE QUESTIONS</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Can you clearly explain the difference between an Event, an Event Source, and an Event Handler?</w:t>
              <w:br/>
            </w:r>
            <w:r>
              <w:rPr>
                <w:rFonts w:ascii="Calibri" w:hAnsi="Calibri"/>
                <w:color w:val="0F172A"/>
                <w:sz w:val="20"/>
              </w:rPr>
              <w:t>ANSWER: An EVENT is the user's action, such as a mouse click or a tap. The EVENT SOURCE is the specific UI object that receives the action, like our 'Specs' button shape. The EVENT HANDLER is the routine or command executed by the system in response, which in our case is PowerPoint's action setting that jumps directly to Slide 12.</w:t>
              <w:br/>
            </w:r>
            <w:r>
              <w:rPr>
                <w:rFonts w:ascii="Calibri" w:hAnsi="Calibri"/>
                <w:i/>
                <w:color w:val="64748B"/>
                <w:sz w:val="18"/>
              </w:rPr>
              <w:t>💡 Why the teacher asks this: This directly tests Laboratory Instruction Number 5. Reciting this clearly gets full points.</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Why did you use Microsoft PowerPoint to build a website instead of coding it in HTML and CSS?</w:t>
              <w:br/>
            </w:r>
            <w:r>
              <w:rPr>
                <w:rFonts w:ascii="Calibri" w:hAnsi="Calibri"/>
                <w:color w:val="0F172A"/>
                <w:sz w:val="20"/>
              </w:rPr>
              <w:t>ANSWER: In professional Human-Computer Interaction, PowerPoint is widely used as a rapid wireframing and prototyping tool. It allows designers to test information architecture, interactive navigation flows, and user feedback before developers spend time and money coding the backend.</w:t>
              <w:br/>
            </w:r>
            <w:r>
              <w:rPr>
                <w:rFonts w:ascii="Calibri" w:hAnsi="Calibri"/>
                <w:i/>
                <w:color w:val="64748B"/>
                <w:sz w:val="18"/>
              </w:rPr>
              <w:t>💡 Why the teacher asks this: Teachers love hearing the word 'rapid prototyping' because that is the industry standard.</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How does your presentation simulate an actual website instead of a regular slide show?</w:t>
              <w:br/>
            </w:r>
            <w:r>
              <w:rPr>
                <w:rFonts w:ascii="Calibri" w:hAnsi="Calibri"/>
                <w:color w:val="0F172A"/>
                <w:sz w:val="20"/>
              </w:rPr>
              <w:t>ANSWER: First, we maintain a persistent header navigation bar and footer status bar on every single slide. Second, users can jump non-linearly to any section at any time using 177 working hyperlinks. Third, we applied subtle fade transitions to mimic the seamless loading of a single-page web application.</w:t>
              <w:br/>
            </w:r>
            <w:r>
              <w:rPr>
                <w:rFonts w:ascii="Calibri" w:hAnsi="Calibri"/>
                <w:i/>
                <w:color w:val="64748B"/>
                <w:sz w:val="18"/>
              </w:rPr>
              <w:t>💡 Why the teacher asks this: Proves you followed Instruction 2 and 3.</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What happens if a user clicks an empty dark area instead of a button?</w:t>
              <w:br/>
            </w:r>
            <w:r>
              <w:rPr>
                <w:rFonts w:ascii="Calibri" w:hAnsi="Calibri"/>
                <w:color w:val="0F172A"/>
                <w:sz w:val="20"/>
              </w:rPr>
              <w:t>ANSWER: In PowerPoint, clicking the background advances to the next slide by default, but because every slide has our persistent navbar, users can immediately re-orient themselves and click back to any page in one click. In a full production website, dead clicks would simply be ignored by the event listener.</w:t>
              <w:br/>
            </w:r>
            <w:r>
              <w:rPr>
                <w:rFonts w:ascii="Calibri" w:hAnsi="Calibri"/>
                <w:i/>
                <w:color w:val="64748B"/>
                <w:sz w:val="18"/>
              </w:rPr>
              <w:t>💡 Why the teacher asks this: Shows you understand real web event listeners.</w:t>
            </w:r>
          </w:p>
        </w:tc>
      </w:tr>
    </w:tbl>
    <w:p/>
    <w:tbl>
      <w:tblPr>
        <w:tblW w:type="auto" w:w="0"/>
        <w:jc w:val="center"/>
        <w:tblLook w:firstColumn="1" w:firstRow="1" w:lastColumn="0" w:lastRow="0" w:noHBand="0" w:noVBand="1" w:val="04A0"/>
      </w:tblPr>
      <w:tblGrid>
        <w:gridCol w:w="9360"/>
      </w:tblGrid>
      <w:tr>
        <w:tc>
          <w:tcPr>
            <w:tcW w:type="dxa" w:w="9360"/>
            <w:shd w:fill="0E1A2F"/>
          </w:tcPr>
          <w:p>
            <w:pPr>
              <w:spacing w:before="120" w:after="120"/>
              <w:ind w:left="216"/>
            </w:pPr>
            <w:r>
              <w:rPr>
                <w:rFonts w:ascii="Calibri" w:hAnsi="Calibri"/>
                <w:b/>
                <w:color w:val="00E5FF"/>
                <w:sz w:val="22"/>
              </w:rPr>
              <w:t>CATEGORY 2: UI/UX DESIGN &amp; HUMAN FACTORS QUESTIONS</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What specific UI/UX design principles did you apply to your slides?</w:t>
              <w:br/>
            </w:r>
            <w:r>
              <w:rPr>
                <w:rFonts w:ascii="Calibri" w:hAnsi="Calibri"/>
                <w:color w:val="0F172A"/>
                <w:sz w:val="20"/>
              </w:rPr>
              <w:t>ANSWER: We applied three major principles: (1) Consistency—the navbar and footer remain in the exact same coordinates on all 16 slides; (2) Visual Hierarchy—we used bold headers, category badges, and distinct card containers to guide the eye; and (3) Recognition over Recall—the active page is highlighted with a cyan pill so users always know their current location.</w:t>
              <w:br/>
            </w:r>
            <w:r>
              <w:rPr>
                <w:rFonts w:ascii="Calibri" w:hAnsi="Calibri"/>
                <w:i/>
                <w:color w:val="64748B"/>
                <w:sz w:val="18"/>
              </w:rPr>
              <w:t>💡 Why the teacher asks this: References Jakob Nielsen's famous 10 Usability Heuristics.</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Why did you choose a dark-mode theme with Electric Cyan accents?</w:t>
              <w:br/>
            </w:r>
            <w:r>
              <w:rPr>
                <w:rFonts w:ascii="Calibri" w:hAnsi="Calibri"/>
                <w:color w:val="0F172A"/>
                <w:sz w:val="20"/>
              </w:rPr>
              <w:t>ANSWER: Dark mode reduces ocular strain and blue light exposure, which aligns with our product's focus on sleep and recovery. Electric Cyan provides a high-contrast ratio against our deep obsidian background, ensuring all text and buttons meet accessibility standards.</w:t>
              <w:br/>
            </w:r>
            <w:r>
              <w:rPr>
                <w:rFonts w:ascii="Calibri" w:hAnsi="Calibri"/>
                <w:i/>
                <w:color w:val="64748B"/>
                <w:sz w:val="18"/>
              </w:rPr>
              <w:t>💡 Why the teacher asks this: Shows thoughtful design intent rather than random color picking.</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How does Fitts's Law apply to your interactive buttons?</w:t>
              <w:br/>
            </w:r>
            <w:r>
              <w:rPr>
                <w:rFonts w:ascii="Calibri" w:hAnsi="Calibri"/>
                <w:color w:val="0F172A"/>
                <w:sz w:val="20"/>
              </w:rPr>
              <w:t>ANSWER: Fitts's Law states that the time to reach a target depends on distance and size. We made our CTA buttons and navigation tabs wide rounded rectangles with generous click padding so users can tap them easily without precision errors.</w:t>
              <w:br/>
            </w:r>
            <w:r>
              <w:rPr>
                <w:rFonts w:ascii="Calibri" w:hAnsi="Calibri"/>
                <w:i/>
                <w:color w:val="64748B"/>
                <w:sz w:val="18"/>
              </w:rPr>
              <w:t>💡 Why the teacher asks this: Mentioning Fitts's Law will impress any IT professor.</w:t>
            </w:r>
          </w:p>
        </w:tc>
      </w:tr>
    </w:tbl>
    <w:p/>
    <w:tbl>
      <w:tblPr>
        <w:tblW w:type="auto" w:w="0"/>
        <w:jc w:val="center"/>
        <w:tblLook w:firstColumn="1" w:firstRow="1" w:lastColumn="0" w:lastRow="0" w:noHBand="0" w:noVBand="1" w:val="04A0"/>
      </w:tblPr>
      <w:tblGrid>
        <w:gridCol w:w="9360"/>
      </w:tblGrid>
      <w:tr>
        <w:tc>
          <w:tcPr>
            <w:tcW w:type="dxa" w:w="9360"/>
            <w:shd w:fill="0E1A2F"/>
          </w:tcPr>
          <w:p>
            <w:pPr>
              <w:spacing w:before="120" w:after="120"/>
              <w:ind w:left="216"/>
            </w:pPr>
            <w:r>
              <w:rPr>
                <w:rFonts w:ascii="Calibri" w:hAnsi="Calibri"/>
                <w:b/>
                <w:color w:val="00E5FF"/>
                <w:sz w:val="22"/>
              </w:rPr>
              <w:t>CATEGORY 3: PRODUCT CONCEPT &amp; ENGINEERING QUESTIONS</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Why did you conceptualize a Smart Ring instead of a Smartwatch?</w:t>
              <w:br/>
            </w:r>
            <w:r>
              <w:rPr>
                <w:rFonts w:ascii="Calibri" w:hAnsi="Calibri"/>
                <w:color w:val="0F172A"/>
                <w:sz w:val="20"/>
              </w:rPr>
              <w:t>ANSWER: Smartwatches suffer from notification fatigue and screen distraction, especially before bed. The finger's digital arteries also run right below the skin surface, delivering pulse signals three times stronger than the dorsal wrist. A 3.8-gram ring offers true ambient health tracking without buzzing or disturbing deep sleep.</w:t>
              <w:br/>
            </w:r>
            <w:r>
              <w:rPr>
                <w:rFonts w:ascii="Calibri" w:hAnsi="Calibri"/>
                <w:i/>
                <w:color w:val="64748B"/>
                <w:sz w:val="18"/>
              </w:rPr>
              <w:t>💡 Why the teacher asks this: Explains the core premise of Slide 2.</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How does the ring capture resting heart rate and sleep stages?</w:t>
              <w:br/>
            </w:r>
            <w:r>
              <w:rPr>
                <w:rFonts w:ascii="Calibri" w:hAnsi="Calibri"/>
                <w:color w:val="0F172A"/>
                <w:sz w:val="20"/>
              </w:rPr>
              <w:t>ANSWER: It uses Photoplethysmography (PPG). Tiny infrared and green LEDs shine light into the digital capillaries, and optical sensors measure light absorption as blood pulses. Algorithms analyze heart rate variability (HRV) and skin temperature dips to classify Deep, REM, and Light sleep stages.</w:t>
              <w:br/>
            </w:r>
            <w:r>
              <w:rPr>
                <w:rFonts w:ascii="Calibri" w:hAnsi="Calibri"/>
                <w:i/>
                <w:color w:val="64748B"/>
                <w:sz w:val="18"/>
              </w:rPr>
              <w:t>💡 Why the teacher asks this: Explains the science on Slide 4 and 5.</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Why did you include an at-home sizing kit instead of standard jewelry sizes?</w:t>
              <w:br/>
            </w:r>
            <w:r>
              <w:rPr>
                <w:rFonts w:ascii="Calibri" w:hAnsi="Calibri"/>
                <w:color w:val="0F172A"/>
                <w:sz w:val="20"/>
              </w:rPr>
              <w:t>ANSWER: Human fingers swell up to 10% between morning, evening, and workouts. Because optical sensors require consistent skin contact to prevent light leakage, our 24-hour test kit guarantees a customized, flawless fit before the titanium ring is manufactured.</w:t>
              <w:br/>
            </w:r>
            <w:r>
              <w:rPr>
                <w:rFonts w:ascii="Calibri" w:hAnsi="Calibri"/>
                <w:i/>
                <w:color w:val="64748B"/>
                <w:sz w:val="18"/>
              </w:rPr>
              <w:t>💡 Why the teacher asks this: Fulfills the user experience flow on Slide 10.</w:t>
            </w:r>
          </w:p>
        </w:tc>
      </w:tr>
    </w:tbl>
    <w:p/>
    <w:tbl>
      <w:tblPr>
        <w:tblW w:type="auto" w:w="0"/>
        <w:jc w:val="center"/>
        <w:tblLook w:firstColumn="1" w:firstRow="1" w:lastColumn="0" w:lastRow="0" w:noHBand="0" w:noVBand="1" w:val="04A0"/>
      </w:tblPr>
      <w:tblGrid>
        <w:gridCol w:w="9360"/>
      </w:tblGrid>
      <w:tr>
        <w:tc>
          <w:tcPr>
            <w:tcW w:type="dxa" w:w="9360"/>
            <w:shd w:fill="0E1A2F"/>
          </w:tcPr>
          <w:p>
            <w:pPr>
              <w:spacing w:before="120" w:after="120"/>
              <w:ind w:left="216"/>
            </w:pPr>
            <w:r>
              <w:rPr>
                <w:rFonts w:ascii="Calibri" w:hAnsi="Calibri"/>
                <w:b/>
                <w:color w:val="00E5FF"/>
                <w:sz w:val="22"/>
              </w:rPr>
              <w:t>CATEGORY 4: QUICK 1-SENTENCE CHEAT ANSWERS FOR CLASSMATE QUESTIONS</w:t>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Is this a real product you can buy right now?</w:t>
              <w:br/>
            </w:r>
            <w:r>
              <w:rPr>
                <w:rFonts w:ascii="Calibri" w:hAnsi="Calibri"/>
                <w:color w:val="0F172A"/>
                <w:sz w:val="20"/>
              </w:rPr>
              <w:t>ANSWER: This is a conceptual product prototype created specifically for our HCI laboratory to demonstrate event-driven UI design and consumer hardware interaction.</w:t>
              <w:br/>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How long does the battery last?</w:t>
              <w:br/>
            </w:r>
            <w:r>
              <w:rPr>
                <w:rFonts w:ascii="Calibri" w:hAnsi="Calibri"/>
                <w:color w:val="0F172A"/>
                <w:sz w:val="20"/>
              </w:rPr>
              <w:t>ANSWER: Up to 7 full days of continuous 24/7 tracking, and the wireless dock charges it to 100% in 55 minutes.</w:t>
              <w:br/>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Is it safe for swimming?</w:t>
              <w:br/>
            </w:r>
            <w:r>
              <w:rPr>
                <w:rFonts w:ascii="Calibri" w:hAnsi="Calibri"/>
                <w:color w:val="0F172A"/>
                <w:sz w:val="20"/>
              </w:rPr>
              <w:t>ANSWER: Yes, it is rated 5 ATM water-resistant up to 50 meters, meaning it is certified for lap swimming, showers, and saunas.</w:t>
              <w:br/>
            </w:r>
          </w:p>
        </w:tc>
      </w:tr>
    </w:tbl>
    <w:p/>
    <w:tbl>
      <w:tblPr>
        <w:tblW w:type="auto" w:w="0"/>
        <w:jc w:val="center"/>
        <w:tblLook w:firstColumn="1" w:firstRow="1" w:lastColumn="0" w:lastRow="0" w:noHBand="0" w:noVBand="1" w:val="04A0"/>
      </w:tblPr>
      <w:tblGrid>
        <w:gridCol w:w="9360"/>
      </w:tblGrid>
      <w:tr>
        <w:tc>
          <w:tcPr>
            <w:tcW w:type="dxa" w:w="9360"/>
            <w:shd w:fill="F8FAFC"/>
          </w:tcPr>
          <w:p>
            <w:pPr>
              <w:spacing w:before="120" w:after="120"/>
              <w:ind w:left="216" w:right="216"/>
            </w:pPr>
            <w:r>
              <w:rPr>
                <w:rFonts w:ascii="Calibri" w:hAnsi="Calibri"/>
                <w:b/>
                <w:color w:val="0891B2"/>
                <w:sz w:val="21"/>
              </w:rPr>
              <w:t>Q: Who did what in this project?</w:t>
              <w:br/>
            </w:r>
            <w:r>
              <w:rPr>
                <w:rFonts w:ascii="Calibri" w:hAnsi="Calibri"/>
                <w:color w:val="0F172A"/>
                <w:sz w:val="20"/>
              </w:rPr>
              <w:t>ANSWER: Shane led the product conceptualization, introductory architecture, and initial event demonstration; Haway led the showcase gallery, technical specifications, and the secondary event handler breakdown.</w:t>
              <w:b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