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4C5C"/>
          <w:sz w:val="32"/>
        </w:rPr>
        <w:t>HUMAN-COMPUTER INTERACTION (COSC1007)</w:t>
      </w:r>
    </w:p>
    <w:p>
      <w:pPr>
        <w:spacing w:before="0" w:after="40"/>
        <w:jc w:val="center"/>
      </w:pPr>
      <w:r>
        <w:rPr>
          <w:rFonts w:ascii="Calibri" w:hAnsi="Calibri"/>
          <w:b/>
          <w:color w:val="282D37"/>
          <w:sz w:val="26"/>
        </w:rPr>
        <w:t>MIDTERM COMBINED STUDY GUIDE &amp; COMPREHENSIVE REVIEWER</w:t>
      </w:r>
    </w:p>
    <w:p>
      <w:pPr>
        <w:spacing w:before="0" w:after="320"/>
        <w:jc w:val="center"/>
      </w:pPr>
      <w:r>
        <w:rPr>
          <w:rFonts w:ascii="Calibri" w:hAnsi="Calibri"/>
          <w:color w:val="5A6E7D"/>
          <w:sz w:val="20"/>
        </w:rPr>
        <w:t>Source Materials: 04 Handout 1 (HCI Design) &amp; 05 Handout 1 (User Interface Layer)</w:t>
        <w:br/>
        <w:t>STI West Negros University — BSIT 2G (1st Semester, SY 2026–2027)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4C5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5"/>
              </w:rPr>
              <w:t>PART 1: THE OVERALL HCI DESIGN PROCESS</w:t>
            </w:r>
          </w:p>
        </w:tc>
      </w:tr>
    </w:tbl>
    <w:p>
      <w:pPr>
        <w:spacing w:before="60" w:after="60" w:line="240" w:lineRule="auto"/>
      </w:pPr>
    </w:p>
    <w:p>
      <w:pPr>
        <w:spacing w:before="0" w:after="80" w:line="312" w:lineRule="auto"/>
      </w:pPr>
      <w:r>
        <w:rPr>
          <w:rFonts w:ascii="Calibri" w:hAnsi="Calibri"/>
          <w:color w:val="1E2D37"/>
          <w:sz w:val="22"/>
        </w:rPr>
        <w:t>Designing interactive systems requires moving methodically from user research to structural prototyping before writing production code.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b/>
          <w:color w:val="14232D"/>
          <w:sz w:val="22"/>
        </w:rPr>
        <w:t xml:space="preserve">Phase 1: </w:t>
      </w:r>
      <w:r>
        <w:rPr>
          <w:rFonts w:ascii="Calibri" w:hAnsi="Calibri"/>
          <w:color w:val="1E2D37"/>
          <w:sz w:val="22"/>
        </w:rPr>
        <w:t>Requirement Analysis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Conducts thorough initial research strictly from the target user perspective.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Identifies user needs, user characteristics, usage context, preceding legacy systems, and competitor benchmarks.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b/>
          <w:color w:val="14232D"/>
          <w:sz w:val="22"/>
        </w:rPr>
        <w:t xml:space="preserve">Phase 2: </w:t>
      </w:r>
      <w:r>
        <w:rPr>
          <w:rFonts w:ascii="Calibri" w:hAnsi="Calibri"/>
          <w:color w:val="1E2D37"/>
          <w:sz w:val="22"/>
        </w:rPr>
        <w:t>User Analysis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Reinforces initial requirements analysis to ensure potential system use is satisfied comprehensively.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Prioritizes user experience and usability standards, exposing supplementary user interface (UI) requirements.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b/>
          <w:color w:val="14232D"/>
          <w:sz w:val="22"/>
        </w:rPr>
        <w:t xml:space="preserve">Phase 3: </w:t>
      </w:r>
      <w:r>
        <w:rPr>
          <w:rFonts w:ascii="Calibri" w:hAnsi="Calibri"/>
          <w:color w:val="1E2D37"/>
          <w:sz w:val="22"/>
        </w:rPr>
        <w:t>Scenario and Task Modeling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Considered the most critical part of interaction modeling.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Identifies application task structures and the sequential relationships between system elements.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Employs storyboarding to create rough visual profiles of interface interactions.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b/>
          <w:color w:val="14232D"/>
          <w:sz w:val="22"/>
        </w:rPr>
        <w:t xml:space="preserve">Phase 4: </w:t>
      </w:r>
      <w:r>
        <w:rPr>
          <w:rFonts w:ascii="Calibri" w:hAnsi="Calibri"/>
          <w:color w:val="1E2D37"/>
          <w:sz w:val="22"/>
        </w:rPr>
        <w:t>Interface Selection and Consolidation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Selects software interface components, interaction techniques (voice, touch, gesture), and hardware specs.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Consolidates choices into a practical package accounting for platform limitations, budget, and time.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b/>
          <w:color w:val="14232D"/>
          <w:sz w:val="22"/>
        </w:rPr>
        <w:t xml:space="preserve">Phase 5: </w:t>
      </w:r>
      <w:r>
        <w:rPr>
          <w:rFonts w:ascii="Calibri" w:hAnsi="Calibri"/>
          <w:color w:val="1E2D37"/>
          <w:sz w:val="22"/>
        </w:rPr>
        <w:t>Wire-framing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Lays out content and functionality structurally using basic shapes before visual styling and colors are added.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Enables rapid iteration and approval. Common tools include Figma, Sketch, InVision Studio, and Adobe XD.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6F8"/>
            <w:tcMar>
              <w:top w:w="130" w:type="dxa"/>
              <w:bottom w:w="130" w:type="dxa"/>
              <w:left w:w="170" w:type="dxa"/>
              <w:right w:w="170" w:type="dxa"/>
            </w:tcMar>
            <w:tcBorders>
              <w:top w:val="none"/>
              <w:left w:val="single" w:sz="24" w:space="0" w:color="0F4C5C"/>
              <w:bottom w:val="none"/>
              <w:right w:val="none"/>
            </w:tcBorders>
          </w:tcPr>
          <w:p>
            <w:pPr>
              <w:spacing w:before="0" w:after="40" w:line="288" w:lineRule="auto"/>
            </w:pPr>
            <w:r>
              <w:rPr>
                <w:rFonts w:ascii="Calibri" w:hAnsi="Calibri"/>
                <w:b/>
                <w:color w:val="0F4C5C"/>
                <w:sz w:val="22"/>
              </w:rPr>
              <w:t>KEY DEFINITION: Wire-framing</w:t>
              <w:br/>
            </w:r>
            <w:r>
              <w:rPr>
                <w:rFonts w:ascii="Calibri" w:hAnsi="Calibri"/>
                <w:color w:val="1E2D37"/>
                <w:sz w:val="21"/>
              </w:rPr>
              <w:t>A visual blueprint used early in development to design a digital service at a structural level. It blocks out where content and UI elements fit without graphical styling, allowing fast iterations before interactive prototyping.</w:t>
            </w:r>
          </w:p>
        </w:tc>
      </w:tr>
    </w:tbl>
    <w:p>
      <w:pPr>
        <w:spacing w:before="60" w:after="60" w:line="240" w:lineRule="auto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4C5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5"/>
              </w:rPr>
              <w:t>PART 2: HARDWARE INTERACTION PLATFORMS</w:t>
            </w:r>
          </w:p>
        </w:tc>
      </w:tr>
    </w:tbl>
    <w:p>
      <w:pPr>
        <w:spacing w:before="60" w:after="60" w:line="240" w:lineRule="auto"/>
      </w:pPr>
    </w:p>
    <w:p>
      <w:pPr>
        <w:spacing w:before="0" w:after="80" w:line="312" w:lineRule="auto"/>
      </w:pPr>
      <w:r>
        <w:rPr>
          <w:rFonts w:ascii="Calibri" w:hAnsi="Calibri"/>
          <w:color w:val="1E2D37"/>
          <w:sz w:val="22"/>
        </w:rPr>
        <w:t>The hardware interaction platform configuration dictates the operating environment and physical constraints of the software.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F4C5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Hardware Platform</w:t>
            </w:r>
          </w:p>
        </w:tc>
        <w:tc>
          <w:tcPr>
            <w:tcW w:type="dxa" w:w="1728"/>
            <w:shd w:fill="0F4C5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Mode of Operation</w:t>
            </w:r>
          </w:p>
        </w:tc>
        <w:tc>
          <w:tcPr>
            <w:tcW w:type="dxa" w:w="3312"/>
            <w:shd w:fill="0F4C5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Tasks Handled</w:t>
            </w:r>
          </w:p>
        </w:tc>
        <w:tc>
          <w:tcPr>
            <w:tcW w:type="dxa" w:w="2160"/>
            <w:shd w:fill="0F4C5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Representative Examples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Desktop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Stationary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Office-related tasks, time-consuming tasks, crucial tasks, multitasking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Documentation, coding, deep research workstations</w:t>
            </w:r>
          </w:p>
        </w:tc>
      </w:tr>
      <w:tr>
        <w:tc>
          <w:tcPr>
            <w:tcW w:type="dxa" w:w="2160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Smartphones / Handheld</w:t>
            </w:r>
          </w:p>
        </w:tc>
        <w:tc>
          <w:tcPr>
            <w:tcW w:type="dxa" w:w="1728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Mobile</w:t>
            </w:r>
          </w:p>
        </w:tc>
        <w:tc>
          <w:tcPr>
            <w:tcW w:type="dxa" w:w="3312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Simple, short, specialized communications, alert processing</w:t>
            </w:r>
          </w:p>
        </w:tc>
        <w:tc>
          <w:tcPr>
            <w:tcW w:type="dxa" w:w="2160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Cellular calls, instant messaging, quick mobile portals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Tablet / Pads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Mobile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Short to medium tasks needing a relatively larger mobile screen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Sales presentations, digital art, location mapping</w:t>
            </w:r>
          </w:p>
        </w:tc>
      </w:tr>
      <w:tr>
        <w:tc>
          <w:tcPr>
            <w:tcW w:type="dxa" w:w="2160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Embedded Systems</w:t>
            </w:r>
          </w:p>
        </w:tc>
        <w:tc>
          <w:tcPr>
            <w:tcW w:type="dxa" w:w="1728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Stationary or Mobile</w:t>
            </w:r>
          </w:p>
        </w:tc>
        <w:tc>
          <w:tcPr>
            <w:tcW w:type="dxa" w:w="3312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Specialized computation and automated interaction on the spot</w:t>
            </w:r>
          </w:p>
        </w:tc>
        <w:tc>
          <w:tcPr>
            <w:tcW w:type="dxa" w:w="2160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Office photocopiers, laser printers, ATM machines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TV / Consoles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Stationary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Entertainment-centric tasks, relaxed viewing distance, privacy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Microsoft Xbox, PlayStation, Nintendo consoles</w:t>
            </w:r>
          </w:p>
        </w:tc>
      </w:tr>
      <w:tr>
        <w:tc>
          <w:tcPr>
            <w:tcW w:type="dxa" w:w="2160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Kiosks / Installations</w:t>
            </w:r>
          </w:p>
        </w:tc>
        <w:tc>
          <w:tcPr>
            <w:tcW w:type="dxa" w:w="1728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Stationary</w:t>
            </w:r>
          </w:p>
        </w:tc>
        <w:tc>
          <w:tcPr>
            <w:tcW w:type="dxa" w:w="3312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Public limited-interaction self-service and status monitoring</w:t>
            </w:r>
          </w:p>
        </w:tc>
        <w:tc>
          <w:tcPr>
            <w:tcW w:type="dxa" w:w="2160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Mall directory kiosks, airport boarding pass terminals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Virtual Reality (VR)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Stationary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Spatial training, telepresence, fully immersive 3D simulation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VizBox, VirtualDome, head-mounted displays</w:t>
            </w:r>
          </w:p>
        </w:tc>
      </w:tr>
      <w:tr>
        <w:tc>
          <w:tcPr>
            <w:tcW w:type="dxa" w:w="2160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Free Form</w:t>
            </w:r>
          </w:p>
        </w:tc>
        <w:tc>
          <w:tcPr>
            <w:tcW w:type="dxa" w:w="1728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Stationary &amp; Mobile</w:t>
            </w:r>
          </w:p>
        </w:tc>
        <w:tc>
          <w:tcPr>
            <w:tcW w:type="dxa" w:w="3312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Customized tactical hardware configurations for multiple users</w:t>
            </w:r>
          </w:p>
        </w:tc>
        <w:tc>
          <w:tcPr>
            <w:tcW w:type="dxa" w:w="2160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Military command helmets, multi-touch tabletop surfaces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4C5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5"/>
              </w:rPr>
              <w:t>PART 3: SOFTWARE INTERFACE COMPONENTS &amp; WIMP</w:t>
            </w:r>
          </w:p>
        </w:tc>
      </w:tr>
    </w:tbl>
    <w:p>
      <w:pPr>
        <w:spacing w:before="6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6F8"/>
            <w:tcMar>
              <w:top w:w="130" w:type="dxa"/>
              <w:bottom w:w="130" w:type="dxa"/>
              <w:left w:w="170" w:type="dxa"/>
              <w:right w:w="170" w:type="dxa"/>
            </w:tcMar>
            <w:tcBorders>
              <w:top w:val="none"/>
              <w:left w:val="single" w:sz="24" w:space="0" w:color="0F4C5C"/>
              <w:bottom w:val="none"/>
              <w:right w:val="none"/>
            </w:tcBorders>
          </w:tcPr>
          <w:p>
            <w:pPr>
              <w:spacing w:before="0" w:after="40" w:line="288" w:lineRule="auto"/>
            </w:pPr>
            <w:r>
              <w:rPr>
                <w:rFonts w:ascii="Calibri" w:hAnsi="Calibri"/>
                <w:b/>
                <w:color w:val="0F4C5C"/>
                <w:sz w:val="22"/>
              </w:rPr>
              <w:t>KEY DEFINITION: WIMP Interface</w:t>
              <w:br/>
            </w:r>
            <w:r>
              <w:rPr>
                <w:rFonts w:ascii="Calibri" w:hAnsi="Calibri"/>
                <w:color w:val="1E2D37"/>
                <w:sz w:val="21"/>
              </w:rPr>
              <w:t>An acronym for Windows, Icons, Menus, and Pointer. It represents the foundational paradigm of modern graphical user interfaces that revolutionized computer accessibility.</w:t>
            </w:r>
          </w:p>
        </w:tc>
      </w:tr>
    </w:tbl>
    <w:p>
      <w:pPr>
        <w:spacing w:before="60" w:after="60" w:line="240" w:lineRule="auto"/>
      </w:pP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b/>
          <w:color w:val="14232D"/>
          <w:sz w:val="22"/>
        </w:rPr>
        <w:t xml:space="preserve">Windows: </w:t>
      </w:r>
      <w:r>
        <w:rPr>
          <w:rFonts w:ascii="Calibri" w:hAnsi="Calibri"/>
          <w:color w:val="1E2D37"/>
          <w:sz w:val="22"/>
        </w:rPr>
        <w:t>Windows / Layers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Provide the visual working area and output channels for distinct computational processes.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Desktop platforms utilize overlapping windows; mobile screens rely on non-overlapping full-screen windows.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b/>
          <w:color w:val="14232D"/>
          <w:sz w:val="22"/>
        </w:rPr>
        <w:t xml:space="preserve">Visual &amp; Auditory Cues: </w:t>
      </w:r>
      <w:r>
        <w:rPr>
          <w:rFonts w:ascii="Calibri" w:hAnsi="Calibri"/>
          <w:color w:val="1E2D37"/>
          <w:sz w:val="22"/>
        </w:rPr>
        <w:t>Icons, Earcons &amp; Tiles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Icons: Compact, intuitive pictograms representing applications or commands.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Earcons: Brief, distinctive audio cues representing system events or errors, crucial for accessibility and visually impaired users.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Tiles: Dynamic icons (originated in Windows Metro) that update real-time content directly on their face.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6F8"/>
            <w:tcMar>
              <w:top w:w="130" w:type="dxa"/>
              <w:bottom w:w="130" w:type="dxa"/>
              <w:left w:w="170" w:type="dxa"/>
              <w:right w:w="170" w:type="dxa"/>
            </w:tcMar>
            <w:tcBorders>
              <w:top w:val="none"/>
              <w:left w:val="single" w:sz="24" w:space="0" w:color="0F4C5C"/>
              <w:bottom w:val="none"/>
              <w:right w:val="none"/>
            </w:tcBorders>
          </w:tcPr>
          <w:p>
            <w:pPr>
              <w:spacing w:before="0" w:after="40" w:line="288" w:lineRule="auto"/>
            </w:pPr>
            <w:r>
              <w:rPr>
                <w:rFonts w:ascii="Calibri" w:hAnsi="Calibri"/>
                <w:b/>
                <w:color w:val="0F4C5C"/>
                <w:sz w:val="22"/>
              </w:rPr>
              <w:t>KEY DEFINITION: Earcon</w:t>
              <w:br/>
            </w:r>
            <w:r>
              <w:rPr>
                <w:rFonts w:ascii="Calibri" w:hAnsi="Calibri"/>
                <w:color w:val="1E2D37"/>
                <w:sz w:val="21"/>
              </w:rPr>
              <w:t>A brief, distinctive audio cue or sound scheme used in computer interfaces to represent a system event, notification, or error condition, serving as an auditory counterpart to visual icons.</w:t>
            </w:r>
          </w:p>
        </w:tc>
      </w:tr>
    </w:tbl>
    <w:p>
      <w:pPr>
        <w:spacing w:before="60" w:after="60" w:line="240" w:lineRule="auto"/>
      </w:pPr>
    </w:p>
    <w:p>
      <w:pPr>
        <w:spacing w:before="0" w:after="80" w:line="312" w:lineRule="auto"/>
      </w:pPr>
      <w:r>
        <w:rPr>
          <w:rFonts w:ascii="Calibri" w:hAnsi="Calibri"/>
          <w:color w:val="1E2D37"/>
          <w:sz w:val="22"/>
        </w:rPr>
        <w:t>Selection of menu items involves three sequential subtasks: activating the menu, scanning items, and confirming selection.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0F4C5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Menu Presentation Style</w:t>
            </w:r>
          </w:p>
        </w:tc>
        <w:tc>
          <w:tcPr>
            <w:tcW w:type="dxa" w:w="6048"/>
            <w:shd w:fill="0F4C5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Recommended Functional Usage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Pull-down Menu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Top-level (main) categorical system menus (e.g., File, Edit, View)</w:t>
            </w:r>
          </w:p>
        </w:tc>
      </w:tr>
      <w:tr>
        <w:tc>
          <w:tcPr>
            <w:tcW w:type="dxa" w:w="3312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Pop-up Menu</w:t>
            </w:r>
          </w:p>
        </w:tc>
        <w:tc>
          <w:tcPr>
            <w:tcW w:type="dxa" w:w="6048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Context-specific, object-specific actions triggered on demand (e.g., right-click)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Toolbar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Frequently accessed operational and functional tool shortcuts</w:t>
            </w:r>
          </w:p>
        </w:tc>
      </w:tr>
      <w:tr>
        <w:tc>
          <w:tcPr>
            <w:tcW w:type="dxa" w:w="3312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Tabs</w:t>
            </w:r>
          </w:p>
        </w:tc>
        <w:tc>
          <w:tcPr>
            <w:tcW w:type="dxa" w:w="6048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Categorical views organized using the physical file-folder metaphor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Scroll Menu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Menus containing long lists with numerous options</w:t>
            </w:r>
          </w:p>
        </w:tc>
      </w:tr>
      <w:tr>
        <w:tc>
          <w:tcPr>
            <w:tcW w:type="dxa" w:w="3312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2D Array / Image Maps</w:t>
            </w:r>
          </w:p>
        </w:tc>
        <w:tc>
          <w:tcPr>
            <w:tcW w:type="dxa" w:w="6048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Identifying items by visual icons or graphical images rather than text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Buttons / Hyperlinks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Compact menus containing very few immediate navigational choices</w:t>
            </w:r>
          </w:p>
        </w:tc>
      </w:tr>
      <w:tr>
        <w:tc>
          <w:tcPr>
            <w:tcW w:type="dxa" w:w="3312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Checkboxes / Radio Buttons</w:t>
            </w:r>
          </w:p>
        </w:tc>
        <w:tc>
          <w:tcPr>
            <w:tcW w:type="dxa" w:w="6048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Checkboxes for multiple non-exclusive choices; Radio buttons for single exclusive choices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Hot Keys (Shortcuts)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Accelerated command execution targeted specifically at expert power users</w:t>
            </w:r>
          </w:p>
        </w:tc>
      </w:tr>
      <w:tr>
        <w:tc>
          <w:tcPr>
            <w:tcW w:type="dxa" w:w="3312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Aural Menu</w:t>
            </w:r>
          </w:p>
        </w:tc>
        <w:tc>
          <w:tcPr>
            <w:tcW w:type="dxa" w:w="6048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Voice-based telemarketing navigation and interactive accessibility for the disabled</w:t>
            </w:r>
          </w:p>
        </w:tc>
      </w:tr>
    </w:tbl>
    <w:p>
      <w:pPr>
        <w:spacing w:before="0" w:after="80" w:line="312" w:lineRule="auto"/>
      </w:pPr>
      <w:r>
        <w:rPr>
          <w:rFonts w:ascii="Calibri" w:hAnsi="Calibri"/>
          <w:b/>
          <w:color w:val="14232D"/>
          <w:sz w:val="22"/>
        </w:rPr>
        <w:t xml:space="preserve">Input Components: </w:t>
      </w:r>
      <w:r>
        <w:rPr>
          <w:rFonts w:ascii="Calibri" w:hAnsi="Calibri"/>
          <w:color w:val="1E2D37"/>
          <w:sz w:val="22"/>
        </w:rPr>
        <w:t>Conventional GUI Input Components: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Text Box: Used for short to medium alphanumeric text input.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Combo Box: Dropdown list combining preset selection options with an editable text entry field.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Forms: Comprehensive composite layout mixing text boxes, dropdowns, and buttons for structured records.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Dialog Box: Mixed-mode modal prompt requiring the user to resolve a specific query before proceeding.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3D Interfaces: Provide visual depth perception; using 2D mouse controls for 3D navigation often causes user fatigue.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4C5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5"/>
              </w:rPr>
              <w:t>PART 4: THE USER INTERFACE LAYER ARCHITECTURE</w:t>
            </w:r>
          </w:p>
        </w:tc>
      </w:tr>
    </w:tbl>
    <w:p>
      <w:pPr>
        <w:spacing w:before="60" w:after="60" w:line="240" w:lineRule="auto"/>
      </w:pPr>
    </w:p>
    <w:p>
      <w:pPr>
        <w:spacing w:before="0" w:after="80" w:line="312" w:lineRule="auto"/>
      </w:pPr>
      <w:r>
        <w:rPr>
          <w:rFonts w:ascii="Calibri" w:hAnsi="Calibri"/>
          <w:color w:val="1E2D37"/>
          <w:sz w:val="22"/>
        </w:rPr>
        <w:t>The User Interface (UI) Layer is the intermediary software layer operating directly above the core operating system kernel but beneath high-level applications. It consists primarily of APIs and a Window Manager.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6F8"/>
            <w:tcMar>
              <w:top w:w="130" w:type="dxa"/>
              <w:bottom w:w="130" w:type="dxa"/>
              <w:left w:w="170" w:type="dxa"/>
              <w:right w:w="170" w:type="dxa"/>
            </w:tcMar>
            <w:tcBorders>
              <w:top w:val="none"/>
              <w:left w:val="single" w:sz="24" w:space="0" w:color="0F4C5C"/>
              <w:bottom w:val="none"/>
              <w:right w:val="none"/>
            </w:tcBorders>
          </w:tcPr>
          <w:p>
            <w:pPr>
              <w:spacing w:before="0" w:after="40" w:line="288" w:lineRule="auto"/>
            </w:pPr>
            <w:r>
              <w:rPr>
                <w:rFonts w:ascii="Calibri" w:hAnsi="Calibri"/>
                <w:b/>
                <w:color w:val="0F4C5C"/>
                <w:sz w:val="22"/>
              </w:rPr>
              <w:t>KEY DEFINITION: Window Manager</w:t>
              <w:br/>
            </w:r>
            <w:r>
              <w:rPr>
                <w:rFonts w:ascii="Calibri" w:hAnsi="Calibri"/>
                <w:color w:val="1E2D37"/>
                <w:sz w:val="21"/>
              </w:rPr>
              <w:t>A core software utility in graphical systems that governs the layout, alignment, positioning, and rendering of application windows. It controls opening, minimizing, maximizing, stacking order, and closing of windows.</w:t>
            </w:r>
          </w:p>
        </w:tc>
      </w:tr>
    </w:tbl>
    <w:p>
      <w:pPr>
        <w:spacing w:before="60" w:after="60" w:line="240" w:lineRule="auto"/>
      </w:pP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Application Programming Interface (API): Set of routines, protocols, and definitions allowing applications to communicate with the OS and remote servers.</w:t>
      </w:r>
    </w:p>
    <w:p>
      <w:pPr>
        <w:spacing w:before="0" w:after="80" w:line="312" w:lineRule="auto"/>
      </w:pPr>
      <w:r>
        <w:rPr>
          <w:rFonts w:ascii="Calibri" w:hAnsi="Calibri"/>
          <w:b/>
          <w:color w:val="14232D"/>
          <w:sz w:val="22"/>
        </w:rPr>
        <w:t xml:space="preserve">Quality Benchmarks: </w:t>
      </w:r>
      <w:r>
        <w:rPr>
          <w:rFonts w:ascii="Calibri" w:hAnsi="Calibri"/>
          <w:color w:val="1E2D37"/>
          <w:sz w:val="22"/>
        </w:rPr>
        <w:t>Characteristics of a Successful UI: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Intuitive: The interface is natural to operate and requires no formal user training.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Efficient: Commands execute smoothly with minimum steps to accelerate workflows.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User-Friendly: Delivers clean feedback and high subjective user satisfaction.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4C5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5"/>
              </w:rPr>
              <w:t>PART 5: MAJOR TYPES OF USER INTERFACES</w:t>
            </w:r>
          </w:p>
        </w:tc>
      </w:tr>
    </w:tbl>
    <w:p>
      <w:pPr>
        <w:spacing w:before="6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F4C5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UI Type</w:t>
            </w:r>
          </w:p>
        </w:tc>
        <w:tc>
          <w:tcPr>
            <w:tcW w:type="dxa" w:w="3312"/>
            <w:shd w:fill="0F4C5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Core Operational Mechanism</w:t>
            </w:r>
          </w:p>
        </w:tc>
        <w:tc>
          <w:tcPr>
            <w:tcW w:type="dxa" w:w="3456"/>
            <w:shd w:fill="0F4C5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Characteristics &amp; Trade-offs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Natural Language Interface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Conversational question-and-answer interaction displayed on screen and entered via keyboard or voice.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Highly conversational; intuitive for novices; can struggle with complex ambiguous queries.</w:t>
            </w:r>
          </w:p>
        </w:tc>
      </w:tr>
      <w:tr>
        <w:tc>
          <w:tcPr>
            <w:tcW w:type="dxa" w:w="2592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Menu-Based Interface</w:t>
            </w:r>
          </w:p>
        </w:tc>
        <w:tc>
          <w:tcPr>
            <w:tcW w:type="dxa" w:w="3312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Presents restricted on-screen lists of options, often nested hierarchically.</w:t>
            </w:r>
          </w:p>
        </w:tc>
        <w:tc>
          <w:tcPr>
            <w:tcW w:type="dxa" w:w="3456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Users do not need to memorize commands; interaction depends heavily on clear category labeling.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Form-Based Interface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Electronic facsimile of paper forms containing labeled input fields, checkboxes, and buttons.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Pre-defines exactly what information must be inputted and where; ideal for database entry.</w:t>
            </w:r>
          </w:p>
        </w:tc>
      </w:tr>
      <w:tr>
        <w:tc>
          <w:tcPr>
            <w:tcW w:type="dxa" w:w="2592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Command Line Interface (CLI)</w:t>
            </w:r>
          </w:p>
        </w:tc>
        <w:tc>
          <w:tcPr>
            <w:tcW w:type="dxa" w:w="3312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System controlled through typed strings of keystrokes, keywords, and exact command syntax.</w:t>
            </w:r>
          </w:p>
        </w:tc>
        <w:tc>
          <w:tcPr>
            <w:tcW w:type="dxa" w:w="3456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Fastest execution speed for expert users; steep learning curve; completely non-intuitive for beginners.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Graphical User Interface (GUI)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Visual representation using windows, icons, menus, and pointer manipulation.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Supports multitasking and complex visual workflows; requires careful conceptual model design.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4C5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5"/>
              </w:rPr>
              <w:t>PART 6: I/O HANDLING &amp; EVENT-DRIVEN PROGRAMMING</w:t>
            </w:r>
          </w:p>
        </w:tc>
      </w:tr>
    </w:tbl>
    <w:p>
      <w:pPr>
        <w:spacing w:before="60" w:after="60" w:line="240" w:lineRule="auto"/>
      </w:pPr>
    </w:p>
    <w:p>
      <w:pPr>
        <w:spacing w:before="0" w:after="80" w:line="312" w:lineRule="auto"/>
      </w:pPr>
      <w:r>
        <w:rPr>
          <w:rFonts w:ascii="Calibri" w:hAnsi="Calibri"/>
          <w:b/>
          <w:color w:val="14232D"/>
          <w:sz w:val="22"/>
        </w:rPr>
        <w:t xml:space="preserve">Low-Level I/O: </w:t>
      </w:r>
      <w:r>
        <w:rPr>
          <w:rFonts w:ascii="Calibri" w:hAnsi="Calibri"/>
          <w:color w:val="1E2D37"/>
          <w:sz w:val="22"/>
        </w:rPr>
        <w:t>Low-Level Interrupt Mechanism: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At the operating system level, inputs and outputs are governed by hardware interrupts.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An interrupt is a hardware signal informing the processor that an I/O event occurred.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The CPU briefly suspends the active thread, runs the corresponding Interrupt Service Routine (handler), and resumes the suspended thread.</w:t>
      </w:r>
    </w:p>
    <w:p>
      <w:pPr>
        <w:spacing w:before="0" w:after="80" w:line="312" w:lineRule="auto"/>
      </w:pPr>
      <w:r>
        <w:rPr>
          <w:rFonts w:ascii="Calibri" w:hAnsi="Calibri"/>
          <w:b/>
          <w:color w:val="14232D"/>
          <w:sz w:val="22"/>
        </w:rPr>
        <w:t xml:space="preserve">High-Level Model: </w:t>
      </w:r>
      <w:r>
        <w:rPr>
          <w:rFonts w:ascii="Calibri" w:hAnsi="Calibri"/>
          <w:color w:val="1E2D37"/>
          <w:sz w:val="22"/>
        </w:rPr>
        <w:t>High-Level Event-Driven Structure: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Programming paradigm where execution flow is determined by user events (clicks, keypresses).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Event: The object generated when a state change occurs within the GUI.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Event Source: The GUI component (button, text box) that originates and fires the event.</w:t>
      </w:r>
    </w:p>
    <w:p>
      <w:pPr>
        <w:spacing w:before="0" w:after="80" w:line="312" w:lineRule="auto"/>
        <w:ind w:left="360"/>
      </w:pPr>
      <w:r>
        <w:rPr>
          <w:rFonts w:ascii="Calibri" w:hAnsi="Calibri"/>
          <w:b/>
          <w:color w:val="0F4C5C"/>
          <w:sz w:val="22"/>
        </w:rPr>
        <w:t xml:space="preserve">•  </w:t>
      </w:r>
      <w:r>
        <w:rPr>
          <w:rFonts w:ascii="Calibri" w:hAnsi="Calibri"/>
          <w:color w:val="1E2D37"/>
          <w:sz w:val="22"/>
        </w:rPr>
        <w:t>Event Listener: Code registered to listen for specific events and execute designated handler routines.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6F8"/>
            <w:tcMar>
              <w:top w:w="130" w:type="dxa"/>
              <w:bottom w:w="130" w:type="dxa"/>
              <w:left w:w="170" w:type="dxa"/>
              <w:right w:w="170" w:type="dxa"/>
            </w:tcMar>
            <w:tcBorders>
              <w:top w:val="none"/>
              <w:left w:val="single" w:sz="24" w:space="0" w:color="0F4C5C"/>
              <w:bottom w:val="none"/>
              <w:right w:val="none"/>
            </w:tcBorders>
          </w:tcPr>
          <w:p>
            <w:pPr>
              <w:spacing w:before="0" w:after="40" w:line="288" w:lineRule="auto"/>
            </w:pPr>
            <w:r>
              <w:rPr>
                <w:rFonts w:ascii="Calibri" w:hAnsi="Calibri"/>
                <w:b/>
                <w:color w:val="0F4C5C"/>
                <w:sz w:val="22"/>
              </w:rPr>
              <w:t>KEY DEFINITION: Event-Driven Programming</w:t>
              <w:br/>
            </w:r>
            <w:r>
              <w:rPr>
                <w:rFonts w:ascii="Calibri" w:hAnsi="Calibri"/>
                <w:color w:val="1E2D37"/>
                <w:sz w:val="21"/>
              </w:rPr>
              <w:t>A software architecture paradigm where the flow of execution is determined by asynchronous user interactions (mouse clicks, gestures, keypresses) or system messages, processed by dedicated event listener objects.</w:t>
            </w:r>
          </w:p>
        </w:tc>
      </w:tr>
    </w:tbl>
    <w:p>
      <w:pPr>
        <w:spacing w:before="6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0F4C5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Java Event Class</w:t>
            </w:r>
          </w:p>
        </w:tc>
        <w:tc>
          <w:tcPr>
            <w:tcW w:type="dxa" w:w="6480"/>
            <w:shd w:fill="0F4C5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Trigger Condition &amp; Operational Description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ActionEvent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Fires when an interactive graphical component is clicked or selected (e.g., clicking a button or double-clicking a list item).</w:t>
            </w:r>
          </w:p>
        </w:tc>
      </w:tr>
      <w:tr>
        <w:tc>
          <w:tcPr>
            <w:tcW w:type="dxa" w:w="2880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ContainerEvent</w:t>
            </w:r>
          </w:p>
        </w:tc>
        <w:tc>
          <w:tcPr>
            <w:tcW w:type="dxa" w:w="6480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Fires when child components are added or removed from a GUI container.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KeyEvent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Fires when a physical key on the keyboard is pressed, typed, or released.</w:t>
            </w:r>
          </w:p>
        </w:tc>
      </w:tr>
      <w:tr>
        <w:tc>
          <w:tcPr>
            <w:tcW w:type="dxa" w:w="2880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WindowEvent</w:t>
            </w:r>
          </w:p>
        </w:tc>
        <w:tc>
          <w:tcPr>
            <w:tcW w:type="dxa" w:w="6480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Fires when a top-level window undergoes a state transition (activated, minimized, restored, or closed).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MouseEvent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Fires during mouse activities including clicking, pressing, dragging, releasing, or mouse hover movements.</w:t>
            </w:r>
          </w:p>
        </w:tc>
      </w:tr>
      <w:tr>
        <w:tc>
          <w:tcPr>
            <w:tcW w:type="dxa" w:w="2880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TextEvent</w:t>
            </w:r>
          </w:p>
        </w:tc>
        <w:tc>
          <w:tcPr>
            <w:tcW w:type="dxa" w:w="6480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Fires immediately when the alphanumeric content within a textfield or textarea is modified.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ComponentEvent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Fires when a GUI element changes visual state, such as being moved, resized, shown, or hidden.</w:t>
            </w:r>
          </w:p>
        </w:tc>
      </w:tr>
      <w:tr>
        <w:tc>
          <w:tcPr>
            <w:tcW w:type="dxa" w:w="2880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AdjustmentEvent</w:t>
            </w:r>
          </w:p>
        </w:tc>
        <w:tc>
          <w:tcPr>
            <w:tcW w:type="dxa" w:w="6480"/>
            <w:shd w:fill="F4F9FA"/>
            <w:tcMar>
              <w:top w:w="80" w:type="dxa"/>
              <w:bottom w:w="80" w:type="dxa"/>
              <w:left w:w="130" w:type="dxa"/>
              <w:right w:w="130" w:type="dxa"/>
            </w:tcMar>
            <w:tcBorders>
              <w:top w:val="single" w:sz="4" w:space="0" w:color="A8CED6"/>
              <w:left w:val="single" w:sz="4" w:space="0" w:color="A8CED6"/>
              <w:bottom w:val="single" w:sz="4" w:space="0" w:color="A8CED6"/>
              <w:right w:val="single" w:sz="4" w:space="0" w:color="A8CED6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1E2D37"/>
                <w:sz w:val="19"/>
              </w:rPr>
              <w:t>Fires when a scrolling adjustment occurs along a GUI scrollbar or slider component.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4C5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5"/>
              </w:rPr>
              <w:t>QUICK REVIEW QUESTIONS (TEST YOUR READINESS)</w:t>
            </w:r>
          </w:p>
        </w:tc>
      </w:tr>
    </w:tbl>
    <w:p>
      <w:pPr>
        <w:spacing w:before="60" w:after="60" w:line="240" w:lineRule="auto"/>
      </w:pPr>
    </w:p>
    <w:p>
      <w:pPr>
        <w:spacing w:before="0" w:after="120" w:line="312" w:lineRule="auto"/>
      </w:pPr>
      <w:r>
        <w:rPr>
          <w:rFonts w:ascii="Calibri" w:hAnsi="Calibri"/>
          <w:color w:val="1E2D37"/>
          <w:sz w:val="22"/>
        </w:rPr>
        <w:t>1. List the five sequential phases of the overall HCI design process in their proper order.</w:t>
      </w:r>
    </w:p>
    <w:p>
      <w:pPr>
        <w:spacing w:before="0" w:after="120" w:line="312" w:lineRule="auto"/>
      </w:pPr>
      <w:r>
        <w:rPr>
          <w:rFonts w:ascii="Calibri" w:hAnsi="Calibri"/>
          <w:color w:val="1E2D37"/>
          <w:sz w:val="22"/>
        </w:rPr>
        <w:t>2. What is an earcon, and why is it vital for inclusive user interface design?</w:t>
      </w:r>
    </w:p>
    <w:p>
      <w:pPr>
        <w:spacing w:before="0" w:after="120" w:line="312" w:lineRule="auto"/>
      </w:pPr>
      <w:r>
        <w:rPr>
          <w:rFonts w:ascii="Calibri" w:hAnsi="Calibri"/>
          <w:color w:val="1E2D37"/>
          <w:sz w:val="22"/>
        </w:rPr>
        <w:t>3. Compare the operational speed and user learning curves of Command Line Interfaces (CLI) versus Graphical User Interfaces (GUI).</w:t>
      </w:r>
    </w:p>
    <w:p>
      <w:pPr>
        <w:spacing w:before="0" w:after="120" w:line="312" w:lineRule="auto"/>
      </w:pPr>
      <w:r>
        <w:rPr>
          <w:rFonts w:ascii="Calibri" w:hAnsi="Calibri"/>
          <w:color w:val="1E2D37"/>
          <w:sz w:val="22"/>
        </w:rPr>
        <w:t>4. What role does a Window Manager perform within the User Interface Layer?</w:t>
      </w:r>
    </w:p>
    <w:p>
      <w:pPr>
        <w:spacing w:before="0" w:after="120" w:line="312" w:lineRule="auto"/>
      </w:pPr>
      <w:r>
        <w:rPr>
          <w:rFonts w:ascii="Calibri" w:hAnsi="Calibri"/>
          <w:color w:val="1E2D37"/>
          <w:sz w:val="22"/>
        </w:rPr>
        <w:t>5. Distinguish between an Event Source and an Event Listener in an event-driven application.</w:t>
      </w:r>
    </w:p>
    <w:p>
      <w:pPr>
        <w:spacing w:before="0" w:after="120" w:line="312" w:lineRule="auto"/>
      </w:pPr>
      <w:r>
        <w:rPr>
          <w:rFonts w:ascii="Calibri" w:hAnsi="Calibri"/>
          <w:color w:val="1E2D37"/>
          <w:sz w:val="22"/>
        </w:rPr>
        <w:t>6. Which specific Java event class is triggered when a user enters text into a form, and which class handles button clicks?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